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charts/chartEx1.xml" ContentType="application/vnd.ms-office.chartex+xml"/>
  <Override PartName="/word/charts/style2.xml" ContentType="application/vnd.ms-office.chartstyle+xml"/>
  <Override PartName="/word/charts/colors2.xml" ContentType="application/vnd.ms-office.chartcolorstyle+xml"/>
  <Override PartName="/word/charts/chartEx2.xml" ContentType="application/vnd.ms-office.chartex+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735CF" w14:textId="37695423" w:rsidR="00F549EF" w:rsidRPr="000D5912" w:rsidRDefault="005A09E9" w:rsidP="00F549EF">
      <w:pPr>
        <w:rPr>
          <w:rStyle w:val="tlid-translation"/>
          <w:lang w:val="pt-BR"/>
        </w:rPr>
      </w:pPr>
      <w:r>
        <w:rPr>
          <w:rStyle w:val="Heading1Char"/>
          <w:b/>
          <w:bCs/>
          <w:lang w:val="pt-BR"/>
        </w:rPr>
        <w:t xml:space="preserve">Anexo I. </w:t>
      </w:r>
      <w:r w:rsidR="000D5912" w:rsidRPr="000D5912">
        <w:rPr>
          <w:rStyle w:val="Heading1Char"/>
          <w:b/>
          <w:bCs/>
          <w:lang w:val="pt-BR"/>
        </w:rPr>
        <w:t>Linha de base socioeconômica</w:t>
      </w:r>
      <w:r w:rsidR="00574C99" w:rsidRPr="000D5912">
        <w:rPr>
          <w:rStyle w:val="Heading1Char"/>
          <w:b/>
          <w:bCs/>
          <w:lang w:val="pt-BR"/>
        </w:rPr>
        <w:br/>
      </w:r>
      <w:r w:rsidR="00574C99" w:rsidRPr="000D5912">
        <w:rPr>
          <w:lang w:val="pt-BR"/>
        </w:rPr>
        <w:br/>
      </w:r>
      <w:r w:rsidR="000D5912" w:rsidRPr="000D5912">
        <w:rPr>
          <w:rStyle w:val="Heading2Char"/>
          <w:lang w:val="pt-BR"/>
        </w:rPr>
        <w:t>Visão geral</w:t>
      </w:r>
    </w:p>
    <w:p w14:paraId="5F323D31" w14:textId="5DB574E7" w:rsidR="000D5912" w:rsidRPr="000D5912" w:rsidRDefault="000D5912" w:rsidP="000D5912">
      <w:pPr>
        <w:rPr>
          <w:rStyle w:val="tlid-translation"/>
          <w:lang w:val="pt-BR"/>
        </w:rPr>
      </w:pPr>
      <w:r w:rsidRPr="000D5912">
        <w:rPr>
          <w:rStyle w:val="tlid-translation"/>
          <w:lang w:val="pt-BR"/>
        </w:rPr>
        <w:t>A linha de base socioeconômica para São Paulo cobre o crescimento populacional histórico e esperado e a atividade econômica. Ambos são os principais motores da atividade que sustentam os impactos de energia, recursos e emissões abordados em cada uma das linhas de base do setor. Portanto, é fundamental entender quais são os prováveis ​​padrões de crescimento socioeconômico do Estado. Para a população, uma compreensão do crescimento das populações rurais e urbanas é valiosa, de modo que novas moradias e suas necessidades de terra e energia possam ser avaliadas.</w:t>
      </w:r>
      <w:r w:rsidR="00C00C1D">
        <w:rPr>
          <w:rStyle w:val="tlid-translation"/>
          <w:lang w:val="pt-BR"/>
        </w:rPr>
        <w:t xml:space="preserve"> </w:t>
      </w:r>
      <w:r w:rsidRPr="000D5912">
        <w:rPr>
          <w:rStyle w:val="tlid-translation"/>
          <w:lang w:val="pt-BR"/>
        </w:rPr>
        <w:t>Isso inclui se há tendências presentes para a migração de populações rurais para áreas urbanas.</w:t>
      </w:r>
    </w:p>
    <w:p w14:paraId="19A20730" w14:textId="77777777" w:rsidR="00C00C1D" w:rsidRDefault="000D5912" w:rsidP="000D5912">
      <w:pPr>
        <w:rPr>
          <w:rStyle w:val="tlid-translation"/>
          <w:lang w:val="pt-BR"/>
        </w:rPr>
      </w:pPr>
      <w:r w:rsidRPr="000D5912">
        <w:rPr>
          <w:rStyle w:val="tlid-translation"/>
          <w:lang w:val="pt-BR"/>
        </w:rPr>
        <w:t xml:space="preserve">A atividade econômica é mais comumente medida como produto regional bruto (GRP; também pode ser referido como produto estadual bruto ou SGP). Tal como acontece com o produto interno bruto (PIB) em nível nacional, o SGP é normalmente medido como o valor bruto adicionado por todos os produtores residentes na economia, mais quaisquer impostos sobre os produtos e menos quaisquer subsídios aos produtos não incluídos no valor dos produtos. Embora não seja um indicador ideal em alguns casos, o crescimento do GRP é freqüentemente usado para prever a atividade econômica futura em setores como os setores comercial e industrial, quando indicadores futuros mais específicos não estão disponíveis. Idealmente, as previsões para indicadores mais específicos, como valor agregado por setor ou previsões de emprego, são preferidas. </w:t>
      </w:r>
    </w:p>
    <w:p w14:paraId="1E34F96F" w14:textId="176CC64B" w:rsidR="003C2F04" w:rsidRPr="00C00C1D" w:rsidRDefault="00C00C1D" w:rsidP="000D5912">
      <w:pPr>
        <w:rPr>
          <w:rStyle w:val="tlid-translation"/>
          <w:lang w:val="pt-BR"/>
        </w:rPr>
      </w:pPr>
      <w:r w:rsidRPr="00C00C1D">
        <w:rPr>
          <w:rStyle w:val="tlid-translation"/>
          <w:lang w:val="pt-BR"/>
        </w:rPr>
        <w:t>Um objetivo da linha de base desenvolvida para o projeto Pathways é alinhar o crescimento socioeconômico futuro com as premissas relativas ao crescimento em cada um dos setores. Por exemplo, conforme indicado acima, o crescimento futuro da população residencial impulsiona a necessidade de habitação, o que, por sua vez, impulsiona a necessidade de terra e energia. Essas necessidades futuras de terra precisam ser levadas em consideração em quaisquer previsões de mudanças no uso / cobertura da terra e seus impactos nos estoques de carbono terrestre e no futuro sequestro de carbono. Da mesma forma, essa nova demanda por habitação irá impulsionar os requisitos de energia adicional (combustíveis e eletricidade), o que precisa ser refletido nas linhas de base para a demanda de energia (subsetor residencial do setor Residencial / Comercial / Institucional ou RCI) e o Fornecimento de Energia (ES) setor</w:t>
      </w:r>
      <w:r w:rsidR="00A60AEA" w:rsidRPr="00C00C1D">
        <w:rPr>
          <w:rStyle w:val="tlid-translation"/>
          <w:lang w:val="pt-BR"/>
        </w:rPr>
        <w:t xml:space="preserve">. </w:t>
      </w:r>
    </w:p>
    <w:p w14:paraId="579A1CB8" w14:textId="268F993A" w:rsidR="00574C99" w:rsidRPr="00C00C1D" w:rsidRDefault="00A60AEA" w:rsidP="00A60AEA">
      <w:pPr>
        <w:pStyle w:val="Heading2"/>
        <w:spacing w:before="240" w:after="120"/>
        <w:rPr>
          <w:rFonts w:eastAsia="Times New Roman"/>
          <w:bdr w:val="none" w:sz="0" w:space="0" w:color="auto"/>
          <w:lang w:val="pt-BR"/>
        </w:rPr>
      </w:pPr>
      <w:r w:rsidRPr="00C00C1D">
        <w:rPr>
          <w:rStyle w:val="tlid-translation"/>
          <w:lang w:val="pt-BR"/>
        </w:rPr>
        <w:t>P</w:t>
      </w:r>
      <w:r w:rsidR="00C00C1D" w:rsidRPr="00C00C1D">
        <w:rPr>
          <w:rStyle w:val="tlid-translation"/>
          <w:lang w:val="pt-BR"/>
        </w:rPr>
        <w:t>opulação</w:t>
      </w:r>
    </w:p>
    <w:p w14:paraId="61E4E53C" w14:textId="62771B00" w:rsidR="00AA1EB5" w:rsidRPr="00C00C1D" w:rsidRDefault="00C00C1D" w:rsidP="00111B28">
      <w:pPr>
        <w:spacing w:after="240"/>
        <w:rPr>
          <w:rStyle w:val="tlid-translation"/>
          <w:lang w:val="pt-BR"/>
        </w:rPr>
      </w:pPr>
      <w:r w:rsidRPr="00C00C1D">
        <w:rPr>
          <w:rStyle w:val="tlid-translation"/>
          <w:lang w:val="pt-BR"/>
        </w:rPr>
        <w:t>A Figura 1 fornece a linha de base da população para São Paulo. Os dados de população rural e urbana do IBGE foram coletados de 2000 a 2019</w:t>
      </w:r>
      <w:r w:rsidR="00A37CC6" w:rsidRPr="00C00C1D">
        <w:rPr>
          <w:rStyle w:val="tlid-translation"/>
          <w:lang w:val="pt-BR"/>
        </w:rPr>
        <w:t>.</w:t>
      </w:r>
      <w:r w:rsidR="00A37CC6">
        <w:rPr>
          <w:rStyle w:val="FootnoteReference"/>
        </w:rPr>
        <w:footnoteReference w:id="1"/>
      </w:r>
      <w:r w:rsidR="00693619" w:rsidRPr="00C00C1D">
        <w:rPr>
          <w:rStyle w:val="tlid-translation"/>
          <w:lang w:val="pt-BR"/>
        </w:rPr>
        <w:t xml:space="preserve"> </w:t>
      </w:r>
      <w:r w:rsidRPr="00C00C1D">
        <w:rPr>
          <w:rStyle w:val="tlid-translation"/>
          <w:lang w:val="pt-BR"/>
        </w:rPr>
        <w:t>As previsões da população foram retiradas do SEADE</w:t>
      </w:r>
      <w:r w:rsidR="009E5151" w:rsidRPr="00C00C1D">
        <w:rPr>
          <w:rStyle w:val="tlid-translation"/>
          <w:lang w:val="pt-BR"/>
        </w:rPr>
        <w:t>.</w:t>
      </w:r>
      <w:r w:rsidR="009E5151">
        <w:rPr>
          <w:rStyle w:val="FootnoteReference"/>
        </w:rPr>
        <w:footnoteReference w:id="2"/>
      </w:r>
      <w:r w:rsidR="00D44985" w:rsidRPr="00C00C1D">
        <w:rPr>
          <w:rStyle w:val="tlid-translation"/>
          <w:lang w:val="pt-BR"/>
        </w:rPr>
        <w:t xml:space="preserve"> </w:t>
      </w:r>
      <w:r w:rsidRPr="00C00C1D">
        <w:rPr>
          <w:rStyle w:val="tlid-translation"/>
          <w:lang w:val="pt-BR"/>
        </w:rPr>
        <w:t>Portanto, as taxas de crescimento anual para os dados históricos e a previsão BAU são mostradas abaixo</w:t>
      </w:r>
      <w:r w:rsidR="00846B93" w:rsidRPr="00C00C1D">
        <w:rPr>
          <w:rStyle w:val="tlid-translation"/>
          <w:lang w:val="pt-BR"/>
        </w:rPr>
        <w:t xml:space="preserve">: </w:t>
      </w:r>
    </w:p>
    <w:tbl>
      <w:tblPr>
        <w:tblW w:w="6641" w:type="dxa"/>
        <w:jc w:val="center"/>
        <w:tblLook w:val="04A0" w:firstRow="1" w:lastRow="0" w:firstColumn="1" w:lastColumn="0" w:noHBand="0" w:noVBand="1"/>
      </w:tblPr>
      <w:tblGrid>
        <w:gridCol w:w="262"/>
        <w:gridCol w:w="5120"/>
        <w:gridCol w:w="1251"/>
        <w:gridCol w:w="8"/>
      </w:tblGrid>
      <w:tr w:rsidR="002626E0" w:rsidRPr="002626E0" w14:paraId="2387A02C" w14:textId="77777777" w:rsidTr="00C00C1D">
        <w:trPr>
          <w:trHeight w:val="315"/>
          <w:jc w:val="center"/>
        </w:trPr>
        <w:tc>
          <w:tcPr>
            <w:tcW w:w="6641"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9288BC9" w14:textId="6A0047BD" w:rsidR="002626E0" w:rsidRPr="002626E0" w:rsidRDefault="00C00C1D" w:rsidP="002626E0">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000000"/>
                <w:sz w:val="20"/>
                <w:szCs w:val="20"/>
                <w:bdr w:val="none" w:sz="0" w:space="0" w:color="auto"/>
              </w:rPr>
            </w:pPr>
            <w:r w:rsidRPr="00C00C1D">
              <w:rPr>
                <w:rFonts w:ascii="Calibri" w:eastAsia="Times New Roman" w:hAnsi="Calibri" w:cs="Calibri"/>
                <w:b/>
                <w:bCs/>
                <w:color w:val="000000"/>
                <w:sz w:val="20"/>
                <w:szCs w:val="20"/>
                <w:bdr w:val="none" w:sz="0" w:space="0" w:color="auto"/>
              </w:rPr>
              <w:t xml:space="preserve">Dados </w:t>
            </w:r>
            <w:proofErr w:type="spellStart"/>
            <w:r w:rsidRPr="00C00C1D">
              <w:rPr>
                <w:rFonts w:ascii="Calibri" w:eastAsia="Times New Roman" w:hAnsi="Calibri" w:cs="Calibri"/>
                <w:b/>
                <w:bCs/>
                <w:color w:val="000000"/>
                <w:sz w:val="20"/>
                <w:szCs w:val="20"/>
                <w:bdr w:val="none" w:sz="0" w:space="0" w:color="auto"/>
              </w:rPr>
              <w:t>históricos</w:t>
            </w:r>
            <w:proofErr w:type="spellEnd"/>
            <w:r w:rsidRPr="00C00C1D">
              <w:rPr>
                <w:rFonts w:ascii="Calibri" w:eastAsia="Times New Roman" w:hAnsi="Calibri" w:cs="Calibri"/>
                <w:b/>
                <w:bCs/>
                <w:color w:val="000000"/>
                <w:sz w:val="20"/>
                <w:szCs w:val="20"/>
                <w:bdr w:val="none" w:sz="0" w:space="0" w:color="auto"/>
              </w:rPr>
              <w:t xml:space="preserve"> de 2000 a 2019</w:t>
            </w:r>
          </w:p>
        </w:tc>
      </w:tr>
      <w:tr w:rsidR="00C00C1D" w:rsidRPr="002626E0" w14:paraId="1DF79A08" w14:textId="77777777" w:rsidTr="00C00C1D">
        <w:trPr>
          <w:gridAfter w:val="1"/>
          <w:wAfter w:w="8" w:type="dxa"/>
          <w:trHeight w:val="315"/>
          <w:jc w:val="center"/>
        </w:trPr>
        <w:tc>
          <w:tcPr>
            <w:tcW w:w="262" w:type="dxa"/>
            <w:tcBorders>
              <w:top w:val="nil"/>
              <w:left w:val="single" w:sz="4" w:space="0" w:color="auto"/>
              <w:bottom w:val="nil"/>
              <w:right w:val="nil"/>
            </w:tcBorders>
            <w:shd w:val="clear" w:color="auto" w:fill="auto"/>
            <w:noWrap/>
            <w:vAlign w:val="bottom"/>
            <w:hideMark/>
          </w:tcPr>
          <w:p w14:paraId="25187F18" w14:textId="77777777" w:rsidR="00C00C1D" w:rsidRPr="002626E0" w:rsidRDefault="00C00C1D" w:rsidP="00C00C1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 w:val="20"/>
                <w:szCs w:val="20"/>
                <w:bdr w:val="none" w:sz="0" w:space="0" w:color="auto"/>
              </w:rPr>
            </w:pPr>
            <w:r w:rsidRPr="002626E0">
              <w:rPr>
                <w:rFonts w:ascii="Calibri" w:eastAsia="Times New Roman" w:hAnsi="Calibri" w:cs="Calibri"/>
                <w:color w:val="000000"/>
                <w:sz w:val="20"/>
                <w:szCs w:val="20"/>
                <w:bdr w:val="none" w:sz="0" w:space="0" w:color="auto"/>
              </w:rPr>
              <w:t> </w:t>
            </w:r>
          </w:p>
        </w:tc>
        <w:tc>
          <w:tcPr>
            <w:tcW w:w="5120" w:type="dxa"/>
            <w:tcBorders>
              <w:top w:val="nil"/>
              <w:left w:val="nil"/>
              <w:bottom w:val="nil"/>
              <w:right w:val="nil"/>
            </w:tcBorders>
            <w:shd w:val="clear" w:color="auto" w:fill="auto"/>
            <w:noWrap/>
            <w:hideMark/>
          </w:tcPr>
          <w:p w14:paraId="37D07DA8" w14:textId="54097247" w:rsidR="00C00C1D" w:rsidRPr="00C00C1D" w:rsidRDefault="00C00C1D" w:rsidP="00C00C1D">
            <w:pPr>
              <w:pBdr>
                <w:top w:val="none" w:sz="0" w:space="0" w:color="auto"/>
                <w:left w:val="none" w:sz="0" w:space="0" w:color="auto"/>
                <w:bottom w:val="none" w:sz="0" w:space="0" w:color="auto"/>
                <w:right w:val="none" w:sz="0" w:space="0" w:color="auto"/>
                <w:between w:val="none" w:sz="0" w:space="0" w:color="auto"/>
                <w:bar w:val="none" w:sz="0" w:color="auto"/>
              </w:pBdr>
              <w:spacing w:before="0" w:after="0"/>
              <w:ind w:left="-510" w:firstLine="510"/>
              <w:jc w:val="right"/>
              <w:rPr>
                <w:rFonts w:ascii="Calibri" w:eastAsia="Times New Roman" w:hAnsi="Calibri" w:cs="Calibri"/>
                <w:color w:val="000000"/>
                <w:sz w:val="20"/>
                <w:szCs w:val="20"/>
                <w:bdr w:val="none" w:sz="0" w:space="0" w:color="auto"/>
                <w:lang w:val="pt-BR"/>
              </w:rPr>
            </w:pPr>
            <w:r w:rsidRPr="00C00C1D">
              <w:rPr>
                <w:lang w:val="pt-BR"/>
              </w:rPr>
              <w:t>Taxa de crescimento da população rural =</w:t>
            </w:r>
          </w:p>
        </w:tc>
        <w:tc>
          <w:tcPr>
            <w:tcW w:w="1251" w:type="dxa"/>
            <w:tcBorders>
              <w:top w:val="nil"/>
              <w:left w:val="nil"/>
              <w:bottom w:val="nil"/>
              <w:right w:val="single" w:sz="4" w:space="0" w:color="auto"/>
            </w:tcBorders>
            <w:shd w:val="clear" w:color="auto" w:fill="auto"/>
            <w:noWrap/>
            <w:vAlign w:val="bottom"/>
            <w:hideMark/>
          </w:tcPr>
          <w:p w14:paraId="547169E0" w14:textId="7D06D7E1" w:rsidR="00C00C1D" w:rsidRPr="002626E0" w:rsidRDefault="00C00C1D" w:rsidP="00C00C1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000000"/>
                <w:sz w:val="20"/>
                <w:szCs w:val="20"/>
                <w:bdr w:val="none" w:sz="0" w:space="0" w:color="auto"/>
              </w:rPr>
            </w:pPr>
            <w:r w:rsidRPr="002626E0">
              <w:rPr>
                <w:rFonts w:ascii="Calibri" w:eastAsia="Times New Roman" w:hAnsi="Calibri" w:cs="Calibri"/>
                <w:color w:val="000000"/>
                <w:sz w:val="20"/>
                <w:szCs w:val="20"/>
                <w:bdr w:val="none" w:sz="0" w:space="0" w:color="auto"/>
              </w:rPr>
              <w:t>-2</w:t>
            </w:r>
            <w:r>
              <w:rPr>
                <w:rFonts w:ascii="Calibri" w:eastAsia="Times New Roman" w:hAnsi="Calibri" w:cs="Calibri"/>
                <w:color w:val="000000"/>
                <w:sz w:val="20"/>
                <w:szCs w:val="20"/>
                <w:bdr w:val="none" w:sz="0" w:space="0" w:color="auto"/>
              </w:rPr>
              <w:t>,</w:t>
            </w:r>
            <w:r w:rsidRPr="002626E0">
              <w:rPr>
                <w:rFonts w:ascii="Calibri" w:eastAsia="Times New Roman" w:hAnsi="Calibri" w:cs="Calibri"/>
                <w:color w:val="000000"/>
                <w:sz w:val="20"/>
                <w:szCs w:val="20"/>
                <w:bdr w:val="none" w:sz="0" w:space="0" w:color="auto"/>
              </w:rPr>
              <w:t>3%</w:t>
            </w:r>
          </w:p>
        </w:tc>
      </w:tr>
      <w:tr w:rsidR="00C00C1D" w:rsidRPr="002626E0" w14:paraId="612561F0" w14:textId="77777777" w:rsidTr="00C00C1D">
        <w:trPr>
          <w:gridAfter w:val="1"/>
          <w:wAfter w:w="8" w:type="dxa"/>
          <w:trHeight w:val="315"/>
          <w:jc w:val="center"/>
        </w:trPr>
        <w:tc>
          <w:tcPr>
            <w:tcW w:w="262" w:type="dxa"/>
            <w:tcBorders>
              <w:top w:val="nil"/>
              <w:left w:val="single" w:sz="4" w:space="0" w:color="auto"/>
              <w:bottom w:val="nil"/>
              <w:right w:val="nil"/>
            </w:tcBorders>
            <w:shd w:val="clear" w:color="auto" w:fill="auto"/>
            <w:noWrap/>
            <w:vAlign w:val="bottom"/>
            <w:hideMark/>
          </w:tcPr>
          <w:p w14:paraId="3EDCEEB6" w14:textId="77777777" w:rsidR="00C00C1D" w:rsidRPr="002626E0" w:rsidRDefault="00C00C1D" w:rsidP="00C00C1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 w:val="20"/>
                <w:szCs w:val="20"/>
                <w:bdr w:val="none" w:sz="0" w:space="0" w:color="auto"/>
              </w:rPr>
            </w:pPr>
            <w:r w:rsidRPr="002626E0">
              <w:rPr>
                <w:rFonts w:ascii="Calibri" w:eastAsia="Times New Roman" w:hAnsi="Calibri" w:cs="Calibri"/>
                <w:color w:val="000000"/>
                <w:sz w:val="20"/>
                <w:szCs w:val="20"/>
                <w:bdr w:val="none" w:sz="0" w:space="0" w:color="auto"/>
              </w:rPr>
              <w:t> </w:t>
            </w:r>
          </w:p>
        </w:tc>
        <w:tc>
          <w:tcPr>
            <w:tcW w:w="5120" w:type="dxa"/>
            <w:tcBorders>
              <w:top w:val="nil"/>
              <w:left w:val="nil"/>
              <w:bottom w:val="nil"/>
              <w:right w:val="nil"/>
            </w:tcBorders>
            <w:shd w:val="clear" w:color="auto" w:fill="auto"/>
            <w:noWrap/>
            <w:hideMark/>
          </w:tcPr>
          <w:p w14:paraId="3CBE92BC" w14:textId="719965FA" w:rsidR="00C00C1D" w:rsidRPr="00C00C1D" w:rsidRDefault="00C00C1D" w:rsidP="00C00C1D">
            <w:pPr>
              <w:pBdr>
                <w:top w:val="none" w:sz="0" w:space="0" w:color="auto"/>
                <w:left w:val="none" w:sz="0" w:space="0" w:color="auto"/>
                <w:bottom w:val="none" w:sz="0" w:space="0" w:color="auto"/>
                <w:right w:val="none" w:sz="0" w:space="0" w:color="auto"/>
                <w:between w:val="none" w:sz="0" w:space="0" w:color="auto"/>
                <w:bar w:val="none" w:sz="0" w:color="auto"/>
              </w:pBdr>
              <w:spacing w:before="0" w:after="0"/>
              <w:ind w:left="-510" w:firstLine="510"/>
              <w:jc w:val="right"/>
              <w:rPr>
                <w:rFonts w:ascii="Calibri" w:eastAsia="Times New Roman" w:hAnsi="Calibri" w:cs="Calibri"/>
                <w:color w:val="000000"/>
                <w:sz w:val="20"/>
                <w:szCs w:val="20"/>
                <w:bdr w:val="none" w:sz="0" w:space="0" w:color="auto"/>
                <w:lang w:val="pt-BR"/>
              </w:rPr>
            </w:pPr>
            <w:r w:rsidRPr="00C00C1D">
              <w:rPr>
                <w:lang w:val="pt-BR"/>
              </w:rPr>
              <w:t>Taxa de crescimento da população urbana =</w:t>
            </w:r>
          </w:p>
        </w:tc>
        <w:tc>
          <w:tcPr>
            <w:tcW w:w="1251" w:type="dxa"/>
            <w:tcBorders>
              <w:top w:val="nil"/>
              <w:left w:val="nil"/>
              <w:bottom w:val="nil"/>
              <w:right w:val="single" w:sz="4" w:space="0" w:color="auto"/>
            </w:tcBorders>
            <w:shd w:val="clear" w:color="auto" w:fill="auto"/>
            <w:noWrap/>
            <w:vAlign w:val="bottom"/>
            <w:hideMark/>
          </w:tcPr>
          <w:p w14:paraId="76100F3C" w14:textId="0AEBB39C" w:rsidR="00C00C1D" w:rsidRPr="002626E0" w:rsidRDefault="00C00C1D" w:rsidP="00C00C1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000000"/>
                <w:sz w:val="20"/>
                <w:szCs w:val="20"/>
                <w:bdr w:val="none" w:sz="0" w:space="0" w:color="auto"/>
              </w:rPr>
            </w:pPr>
            <w:r w:rsidRPr="002626E0">
              <w:rPr>
                <w:rFonts w:ascii="Calibri" w:eastAsia="Times New Roman" w:hAnsi="Calibri" w:cs="Calibri"/>
                <w:color w:val="000000"/>
                <w:sz w:val="20"/>
                <w:szCs w:val="20"/>
                <w:bdr w:val="none" w:sz="0" w:space="0" w:color="auto"/>
              </w:rPr>
              <w:t>1</w:t>
            </w:r>
            <w:r>
              <w:rPr>
                <w:rFonts w:ascii="Calibri" w:eastAsia="Times New Roman" w:hAnsi="Calibri" w:cs="Calibri"/>
                <w:color w:val="000000"/>
                <w:sz w:val="20"/>
                <w:szCs w:val="20"/>
                <w:bdr w:val="none" w:sz="0" w:space="0" w:color="auto"/>
              </w:rPr>
              <w:t>,</w:t>
            </w:r>
            <w:r w:rsidRPr="002626E0">
              <w:rPr>
                <w:rFonts w:ascii="Calibri" w:eastAsia="Times New Roman" w:hAnsi="Calibri" w:cs="Calibri"/>
                <w:color w:val="000000"/>
                <w:sz w:val="20"/>
                <w:szCs w:val="20"/>
                <w:bdr w:val="none" w:sz="0" w:space="0" w:color="auto"/>
              </w:rPr>
              <w:t>1%</w:t>
            </w:r>
          </w:p>
        </w:tc>
      </w:tr>
      <w:tr w:rsidR="00C00C1D" w:rsidRPr="002626E0" w14:paraId="72B1D6C0" w14:textId="77777777" w:rsidTr="00C00C1D">
        <w:trPr>
          <w:gridAfter w:val="1"/>
          <w:wAfter w:w="8" w:type="dxa"/>
          <w:trHeight w:val="315"/>
          <w:jc w:val="center"/>
        </w:trPr>
        <w:tc>
          <w:tcPr>
            <w:tcW w:w="262" w:type="dxa"/>
            <w:tcBorders>
              <w:top w:val="nil"/>
              <w:left w:val="single" w:sz="4" w:space="0" w:color="auto"/>
              <w:bottom w:val="single" w:sz="4" w:space="0" w:color="auto"/>
              <w:right w:val="nil"/>
            </w:tcBorders>
            <w:shd w:val="clear" w:color="auto" w:fill="auto"/>
            <w:noWrap/>
            <w:vAlign w:val="bottom"/>
            <w:hideMark/>
          </w:tcPr>
          <w:p w14:paraId="722B18D0" w14:textId="77777777" w:rsidR="00C00C1D" w:rsidRPr="002626E0" w:rsidRDefault="00C00C1D" w:rsidP="00C00C1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 w:val="20"/>
                <w:szCs w:val="20"/>
                <w:bdr w:val="none" w:sz="0" w:space="0" w:color="auto"/>
              </w:rPr>
            </w:pPr>
            <w:r w:rsidRPr="002626E0">
              <w:rPr>
                <w:rFonts w:ascii="Calibri" w:eastAsia="Times New Roman" w:hAnsi="Calibri" w:cs="Calibri"/>
                <w:color w:val="000000"/>
                <w:sz w:val="20"/>
                <w:szCs w:val="20"/>
                <w:bdr w:val="none" w:sz="0" w:space="0" w:color="auto"/>
              </w:rPr>
              <w:t> </w:t>
            </w:r>
          </w:p>
        </w:tc>
        <w:tc>
          <w:tcPr>
            <w:tcW w:w="5120" w:type="dxa"/>
            <w:tcBorders>
              <w:top w:val="nil"/>
              <w:left w:val="nil"/>
              <w:bottom w:val="single" w:sz="4" w:space="0" w:color="auto"/>
              <w:right w:val="nil"/>
            </w:tcBorders>
            <w:shd w:val="clear" w:color="auto" w:fill="auto"/>
            <w:noWrap/>
            <w:hideMark/>
          </w:tcPr>
          <w:p w14:paraId="7A63E197" w14:textId="46395E10" w:rsidR="00C00C1D" w:rsidRPr="00C00C1D" w:rsidRDefault="00C00C1D" w:rsidP="00C00C1D">
            <w:pPr>
              <w:pBdr>
                <w:top w:val="none" w:sz="0" w:space="0" w:color="auto"/>
                <w:left w:val="none" w:sz="0" w:space="0" w:color="auto"/>
                <w:bottom w:val="none" w:sz="0" w:space="0" w:color="auto"/>
                <w:right w:val="none" w:sz="0" w:space="0" w:color="auto"/>
                <w:between w:val="none" w:sz="0" w:space="0" w:color="auto"/>
                <w:bar w:val="none" w:sz="0" w:color="auto"/>
              </w:pBdr>
              <w:spacing w:before="0" w:after="0"/>
              <w:ind w:left="-510" w:firstLine="510"/>
              <w:jc w:val="right"/>
              <w:rPr>
                <w:rFonts w:ascii="Calibri" w:eastAsia="Times New Roman" w:hAnsi="Calibri" w:cs="Calibri"/>
                <w:color w:val="000000"/>
                <w:sz w:val="20"/>
                <w:szCs w:val="20"/>
                <w:bdr w:val="none" w:sz="0" w:space="0" w:color="auto"/>
                <w:lang w:val="pt-BR"/>
              </w:rPr>
            </w:pPr>
            <w:r w:rsidRPr="00C00C1D">
              <w:rPr>
                <w:lang w:val="pt-BR"/>
              </w:rPr>
              <w:t>Taxa de crescimento populacional total =</w:t>
            </w:r>
          </w:p>
        </w:tc>
        <w:tc>
          <w:tcPr>
            <w:tcW w:w="1251" w:type="dxa"/>
            <w:tcBorders>
              <w:top w:val="nil"/>
              <w:left w:val="nil"/>
              <w:bottom w:val="single" w:sz="4" w:space="0" w:color="auto"/>
              <w:right w:val="single" w:sz="4" w:space="0" w:color="auto"/>
            </w:tcBorders>
            <w:shd w:val="clear" w:color="auto" w:fill="auto"/>
            <w:noWrap/>
            <w:vAlign w:val="bottom"/>
            <w:hideMark/>
          </w:tcPr>
          <w:p w14:paraId="64D24BC6" w14:textId="77E8D51E" w:rsidR="00C00C1D" w:rsidRPr="002626E0" w:rsidRDefault="00C00C1D" w:rsidP="00C00C1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000000"/>
                <w:sz w:val="20"/>
                <w:szCs w:val="20"/>
                <w:bdr w:val="none" w:sz="0" w:space="0" w:color="auto"/>
              </w:rPr>
            </w:pPr>
            <w:r w:rsidRPr="002626E0">
              <w:rPr>
                <w:rFonts w:ascii="Calibri" w:eastAsia="Times New Roman" w:hAnsi="Calibri" w:cs="Calibri"/>
                <w:color w:val="000000"/>
                <w:sz w:val="20"/>
                <w:szCs w:val="20"/>
                <w:bdr w:val="none" w:sz="0" w:space="0" w:color="auto"/>
              </w:rPr>
              <w:t>1</w:t>
            </w:r>
            <w:r>
              <w:rPr>
                <w:rFonts w:ascii="Calibri" w:eastAsia="Times New Roman" w:hAnsi="Calibri" w:cs="Calibri"/>
                <w:color w:val="000000"/>
                <w:sz w:val="20"/>
                <w:szCs w:val="20"/>
                <w:bdr w:val="none" w:sz="0" w:space="0" w:color="auto"/>
              </w:rPr>
              <w:t>,</w:t>
            </w:r>
            <w:r w:rsidRPr="002626E0">
              <w:rPr>
                <w:rFonts w:ascii="Calibri" w:eastAsia="Times New Roman" w:hAnsi="Calibri" w:cs="Calibri"/>
                <w:color w:val="000000"/>
                <w:sz w:val="20"/>
                <w:szCs w:val="20"/>
                <w:bdr w:val="none" w:sz="0" w:space="0" w:color="auto"/>
              </w:rPr>
              <w:t>0%</w:t>
            </w:r>
          </w:p>
        </w:tc>
      </w:tr>
      <w:tr w:rsidR="002626E0" w:rsidRPr="002626E0" w14:paraId="2BABC276" w14:textId="77777777" w:rsidTr="00C00C1D">
        <w:trPr>
          <w:trHeight w:val="315"/>
          <w:jc w:val="center"/>
        </w:trPr>
        <w:tc>
          <w:tcPr>
            <w:tcW w:w="6641" w:type="dxa"/>
            <w:gridSpan w:val="4"/>
            <w:tcBorders>
              <w:top w:val="single" w:sz="4" w:space="0" w:color="auto"/>
              <w:left w:val="single" w:sz="4" w:space="0" w:color="auto"/>
              <w:bottom w:val="nil"/>
              <w:right w:val="single" w:sz="4" w:space="0" w:color="000000"/>
            </w:tcBorders>
            <w:shd w:val="clear" w:color="auto" w:fill="auto"/>
            <w:noWrap/>
            <w:vAlign w:val="bottom"/>
            <w:hideMark/>
          </w:tcPr>
          <w:p w14:paraId="2B886C34" w14:textId="7D0E915E" w:rsidR="002626E0" w:rsidRPr="002626E0" w:rsidRDefault="00C00C1D" w:rsidP="002626E0">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000000"/>
                <w:sz w:val="20"/>
                <w:szCs w:val="20"/>
                <w:bdr w:val="none" w:sz="0" w:space="0" w:color="auto"/>
              </w:rPr>
            </w:pPr>
            <w:proofErr w:type="spellStart"/>
            <w:r w:rsidRPr="00C00C1D">
              <w:rPr>
                <w:rFonts w:ascii="Calibri" w:eastAsia="Times New Roman" w:hAnsi="Calibri" w:cs="Calibri"/>
                <w:b/>
                <w:bCs/>
                <w:color w:val="000000"/>
                <w:sz w:val="20"/>
                <w:szCs w:val="20"/>
                <w:bdr w:val="none" w:sz="0" w:space="0" w:color="auto"/>
              </w:rPr>
              <w:t>Previsão</w:t>
            </w:r>
            <w:proofErr w:type="spellEnd"/>
            <w:r w:rsidRPr="00C00C1D">
              <w:rPr>
                <w:rFonts w:ascii="Calibri" w:eastAsia="Times New Roman" w:hAnsi="Calibri" w:cs="Calibri"/>
                <w:b/>
                <w:bCs/>
                <w:color w:val="000000"/>
                <w:sz w:val="20"/>
                <w:szCs w:val="20"/>
                <w:bdr w:val="none" w:sz="0" w:space="0" w:color="auto"/>
              </w:rPr>
              <w:t xml:space="preserve"> BAU 2020 </w:t>
            </w:r>
            <w:r>
              <w:rPr>
                <w:rFonts w:ascii="Calibri" w:eastAsia="Times New Roman" w:hAnsi="Calibri" w:cs="Calibri"/>
                <w:b/>
                <w:bCs/>
                <w:color w:val="000000"/>
                <w:sz w:val="20"/>
                <w:szCs w:val="20"/>
                <w:bdr w:val="none" w:sz="0" w:space="0" w:color="auto"/>
              </w:rPr>
              <w:t>–</w:t>
            </w:r>
            <w:r w:rsidRPr="00C00C1D">
              <w:rPr>
                <w:rFonts w:ascii="Calibri" w:eastAsia="Times New Roman" w:hAnsi="Calibri" w:cs="Calibri"/>
                <w:b/>
                <w:bCs/>
                <w:color w:val="000000"/>
                <w:sz w:val="20"/>
                <w:szCs w:val="20"/>
                <w:bdr w:val="none" w:sz="0" w:space="0" w:color="auto"/>
              </w:rPr>
              <w:t xml:space="preserve"> 2050</w:t>
            </w:r>
          </w:p>
        </w:tc>
      </w:tr>
      <w:tr w:rsidR="00C00C1D" w:rsidRPr="002626E0" w14:paraId="76210329" w14:textId="77777777" w:rsidTr="00C00C1D">
        <w:trPr>
          <w:gridAfter w:val="1"/>
          <w:wAfter w:w="8" w:type="dxa"/>
          <w:trHeight w:val="315"/>
          <w:jc w:val="center"/>
        </w:trPr>
        <w:tc>
          <w:tcPr>
            <w:tcW w:w="262" w:type="dxa"/>
            <w:tcBorders>
              <w:top w:val="single" w:sz="4" w:space="0" w:color="auto"/>
              <w:left w:val="single" w:sz="4" w:space="0" w:color="auto"/>
              <w:bottom w:val="nil"/>
              <w:right w:val="nil"/>
            </w:tcBorders>
            <w:shd w:val="clear" w:color="auto" w:fill="auto"/>
            <w:noWrap/>
            <w:vAlign w:val="bottom"/>
            <w:hideMark/>
          </w:tcPr>
          <w:p w14:paraId="774FEBDA" w14:textId="77777777" w:rsidR="00C00C1D" w:rsidRPr="002626E0" w:rsidRDefault="00C00C1D" w:rsidP="00C00C1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 w:val="20"/>
                <w:szCs w:val="20"/>
                <w:bdr w:val="none" w:sz="0" w:space="0" w:color="auto"/>
              </w:rPr>
            </w:pPr>
            <w:r w:rsidRPr="002626E0">
              <w:rPr>
                <w:rFonts w:ascii="Calibri" w:eastAsia="Times New Roman" w:hAnsi="Calibri" w:cs="Calibri"/>
                <w:color w:val="000000"/>
                <w:sz w:val="20"/>
                <w:szCs w:val="20"/>
                <w:bdr w:val="none" w:sz="0" w:space="0" w:color="auto"/>
              </w:rPr>
              <w:t> </w:t>
            </w:r>
          </w:p>
        </w:tc>
        <w:tc>
          <w:tcPr>
            <w:tcW w:w="5120" w:type="dxa"/>
            <w:tcBorders>
              <w:top w:val="single" w:sz="4" w:space="0" w:color="auto"/>
              <w:left w:val="nil"/>
              <w:bottom w:val="nil"/>
              <w:right w:val="nil"/>
            </w:tcBorders>
            <w:shd w:val="clear" w:color="auto" w:fill="auto"/>
            <w:noWrap/>
            <w:hideMark/>
          </w:tcPr>
          <w:p w14:paraId="5017F2DF" w14:textId="2564FCD3" w:rsidR="00C00C1D" w:rsidRPr="00C00C1D" w:rsidRDefault="00C00C1D" w:rsidP="00C00C1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 w:val="20"/>
                <w:szCs w:val="20"/>
                <w:bdr w:val="none" w:sz="0" w:space="0" w:color="auto"/>
                <w:lang w:val="pt-BR"/>
              </w:rPr>
            </w:pPr>
            <w:r w:rsidRPr="00C00C1D">
              <w:rPr>
                <w:lang w:val="pt-BR"/>
              </w:rPr>
              <w:t>Taxa de crescimento da população rural =</w:t>
            </w:r>
          </w:p>
        </w:tc>
        <w:tc>
          <w:tcPr>
            <w:tcW w:w="1251" w:type="dxa"/>
            <w:tcBorders>
              <w:top w:val="single" w:sz="4" w:space="0" w:color="auto"/>
              <w:left w:val="nil"/>
              <w:bottom w:val="nil"/>
              <w:right w:val="single" w:sz="4" w:space="0" w:color="auto"/>
            </w:tcBorders>
            <w:shd w:val="clear" w:color="auto" w:fill="auto"/>
            <w:noWrap/>
            <w:vAlign w:val="bottom"/>
            <w:hideMark/>
          </w:tcPr>
          <w:p w14:paraId="41CD2569" w14:textId="18845319" w:rsidR="00C00C1D" w:rsidRPr="002626E0" w:rsidRDefault="00C00C1D" w:rsidP="00C00C1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 w:val="20"/>
                <w:szCs w:val="20"/>
                <w:bdr w:val="none" w:sz="0" w:space="0" w:color="auto"/>
              </w:rPr>
            </w:pPr>
            <w:r w:rsidRPr="002626E0">
              <w:rPr>
                <w:rFonts w:ascii="Calibri" w:eastAsia="Times New Roman" w:hAnsi="Calibri" w:cs="Calibri"/>
                <w:color w:val="000000"/>
                <w:sz w:val="20"/>
                <w:szCs w:val="20"/>
                <w:bdr w:val="none" w:sz="0" w:space="0" w:color="auto"/>
              </w:rPr>
              <w:t>-0</w:t>
            </w:r>
            <w:r>
              <w:rPr>
                <w:rFonts w:ascii="Calibri" w:eastAsia="Times New Roman" w:hAnsi="Calibri" w:cs="Calibri"/>
                <w:color w:val="000000"/>
                <w:sz w:val="20"/>
                <w:szCs w:val="20"/>
                <w:bdr w:val="none" w:sz="0" w:space="0" w:color="auto"/>
              </w:rPr>
              <w:t>,</w:t>
            </w:r>
            <w:r w:rsidRPr="002626E0">
              <w:rPr>
                <w:rFonts w:ascii="Calibri" w:eastAsia="Times New Roman" w:hAnsi="Calibri" w:cs="Calibri"/>
                <w:color w:val="000000"/>
                <w:sz w:val="20"/>
                <w:szCs w:val="20"/>
                <w:bdr w:val="none" w:sz="0" w:space="0" w:color="auto"/>
              </w:rPr>
              <w:t>6%</w:t>
            </w:r>
          </w:p>
        </w:tc>
      </w:tr>
      <w:tr w:rsidR="00C00C1D" w:rsidRPr="002626E0" w14:paraId="74D8C85F" w14:textId="77777777" w:rsidTr="00C00C1D">
        <w:trPr>
          <w:gridAfter w:val="1"/>
          <w:wAfter w:w="8" w:type="dxa"/>
          <w:trHeight w:val="315"/>
          <w:jc w:val="center"/>
        </w:trPr>
        <w:tc>
          <w:tcPr>
            <w:tcW w:w="262" w:type="dxa"/>
            <w:tcBorders>
              <w:top w:val="nil"/>
              <w:left w:val="single" w:sz="4" w:space="0" w:color="auto"/>
              <w:bottom w:val="nil"/>
              <w:right w:val="nil"/>
            </w:tcBorders>
            <w:shd w:val="clear" w:color="auto" w:fill="auto"/>
            <w:noWrap/>
            <w:vAlign w:val="bottom"/>
            <w:hideMark/>
          </w:tcPr>
          <w:p w14:paraId="6B8329D0" w14:textId="77777777" w:rsidR="00C00C1D" w:rsidRPr="002626E0" w:rsidRDefault="00C00C1D" w:rsidP="00C00C1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 w:val="20"/>
                <w:szCs w:val="20"/>
                <w:bdr w:val="none" w:sz="0" w:space="0" w:color="auto"/>
              </w:rPr>
            </w:pPr>
            <w:r w:rsidRPr="002626E0">
              <w:rPr>
                <w:rFonts w:ascii="Calibri" w:eastAsia="Times New Roman" w:hAnsi="Calibri" w:cs="Calibri"/>
                <w:color w:val="000000"/>
                <w:sz w:val="20"/>
                <w:szCs w:val="20"/>
                <w:bdr w:val="none" w:sz="0" w:space="0" w:color="auto"/>
              </w:rPr>
              <w:t> </w:t>
            </w:r>
          </w:p>
        </w:tc>
        <w:tc>
          <w:tcPr>
            <w:tcW w:w="5120" w:type="dxa"/>
            <w:tcBorders>
              <w:top w:val="nil"/>
              <w:left w:val="nil"/>
              <w:bottom w:val="nil"/>
              <w:right w:val="nil"/>
            </w:tcBorders>
            <w:shd w:val="clear" w:color="auto" w:fill="auto"/>
            <w:noWrap/>
            <w:hideMark/>
          </w:tcPr>
          <w:p w14:paraId="21E7FC63" w14:textId="01959126" w:rsidR="00C00C1D" w:rsidRPr="00C00C1D" w:rsidRDefault="00C00C1D" w:rsidP="00C00C1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 w:val="20"/>
                <w:szCs w:val="20"/>
                <w:bdr w:val="none" w:sz="0" w:space="0" w:color="auto"/>
                <w:lang w:val="pt-BR"/>
              </w:rPr>
            </w:pPr>
            <w:r w:rsidRPr="00C00C1D">
              <w:rPr>
                <w:lang w:val="pt-BR"/>
              </w:rPr>
              <w:t>Taxa de crescimento da população urbana =</w:t>
            </w:r>
          </w:p>
        </w:tc>
        <w:tc>
          <w:tcPr>
            <w:tcW w:w="1251" w:type="dxa"/>
            <w:tcBorders>
              <w:top w:val="nil"/>
              <w:left w:val="nil"/>
              <w:bottom w:val="nil"/>
              <w:right w:val="single" w:sz="4" w:space="0" w:color="auto"/>
            </w:tcBorders>
            <w:shd w:val="clear" w:color="auto" w:fill="auto"/>
            <w:noWrap/>
            <w:vAlign w:val="bottom"/>
            <w:hideMark/>
          </w:tcPr>
          <w:p w14:paraId="5BCA2420" w14:textId="42D44AD9" w:rsidR="00C00C1D" w:rsidRPr="002626E0" w:rsidRDefault="00C00C1D" w:rsidP="00C00C1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 w:val="20"/>
                <w:szCs w:val="20"/>
                <w:bdr w:val="none" w:sz="0" w:space="0" w:color="auto"/>
              </w:rPr>
            </w:pPr>
            <w:r w:rsidRPr="002626E0">
              <w:rPr>
                <w:rFonts w:ascii="Calibri" w:eastAsia="Times New Roman" w:hAnsi="Calibri" w:cs="Calibri"/>
                <w:color w:val="000000"/>
                <w:sz w:val="20"/>
                <w:szCs w:val="20"/>
                <w:bdr w:val="none" w:sz="0" w:space="0" w:color="auto"/>
              </w:rPr>
              <w:t>0</w:t>
            </w:r>
            <w:r>
              <w:rPr>
                <w:rFonts w:ascii="Calibri" w:eastAsia="Times New Roman" w:hAnsi="Calibri" w:cs="Calibri"/>
                <w:color w:val="000000"/>
                <w:sz w:val="20"/>
                <w:szCs w:val="20"/>
                <w:bdr w:val="none" w:sz="0" w:space="0" w:color="auto"/>
              </w:rPr>
              <w:t>,</w:t>
            </w:r>
            <w:r w:rsidRPr="002626E0">
              <w:rPr>
                <w:rFonts w:ascii="Calibri" w:eastAsia="Times New Roman" w:hAnsi="Calibri" w:cs="Calibri"/>
                <w:color w:val="000000"/>
                <w:sz w:val="20"/>
                <w:szCs w:val="20"/>
                <w:bdr w:val="none" w:sz="0" w:space="0" w:color="auto"/>
              </w:rPr>
              <w:t>2%</w:t>
            </w:r>
          </w:p>
        </w:tc>
      </w:tr>
      <w:tr w:rsidR="00C00C1D" w:rsidRPr="002626E0" w14:paraId="5F906E2C" w14:textId="77777777" w:rsidTr="00C00C1D">
        <w:trPr>
          <w:gridAfter w:val="1"/>
          <w:wAfter w:w="8" w:type="dxa"/>
          <w:trHeight w:val="315"/>
          <w:jc w:val="center"/>
        </w:trPr>
        <w:tc>
          <w:tcPr>
            <w:tcW w:w="262" w:type="dxa"/>
            <w:tcBorders>
              <w:top w:val="nil"/>
              <w:left w:val="single" w:sz="4" w:space="0" w:color="auto"/>
              <w:bottom w:val="single" w:sz="4" w:space="0" w:color="auto"/>
              <w:right w:val="nil"/>
            </w:tcBorders>
            <w:shd w:val="clear" w:color="auto" w:fill="auto"/>
            <w:noWrap/>
            <w:vAlign w:val="bottom"/>
            <w:hideMark/>
          </w:tcPr>
          <w:p w14:paraId="3B8BE22B" w14:textId="77777777" w:rsidR="00C00C1D" w:rsidRPr="002626E0" w:rsidRDefault="00C00C1D" w:rsidP="00C00C1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 w:val="20"/>
                <w:szCs w:val="20"/>
                <w:bdr w:val="none" w:sz="0" w:space="0" w:color="auto"/>
              </w:rPr>
            </w:pPr>
            <w:r w:rsidRPr="002626E0">
              <w:rPr>
                <w:rFonts w:ascii="Calibri" w:eastAsia="Times New Roman" w:hAnsi="Calibri" w:cs="Calibri"/>
                <w:color w:val="000000"/>
                <w:sz w:val="20"/>
                <w:szCs w:val="20"/>
                <w:bdr w:val="none" w:sz="0" w:space="0" w:color="auto"/>
              </w:rPr>
              <w:t> </w:t>
            </w:r>
          </w:p>
        </w:tc>
        <w:tc>
          <w:tcPr>
            <w:tcW w:w="5120" w:type="dxa"/>
            <w:tcBorders>
              <w:top w:val="nil"/>
              <w:left w:val="nil"/>
              <w:bottom w:val="single" w:sz="4" w:space="0" w:color="auto"/>
              <w:right w:val="nil"/>
            </w:tcBorders>
            <w:shd w:val="clear" w:color="auto" w:fill="auto"/>
            <w:noWrap/>
            <w:hideMark/>
          </w:tcPr>
          <w:p w14:paraId="007056A1" w14:textId="058242DC" w:rsidR="00C00C1D" w:rsidRPr="00C00C1D" w:rsidRDefault="00C00C1D" w:rsidP="00C00C1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 w:val="20"/>
                <w:szCs w:val="20"/>
                <w:bdr w:val="none" w:sz="0" w:space="0" w:color="auto"/>
                <w:lang w:val="pt-BR"/>
              </w:rPr>
            </w:pPr>
            <w:r w:rsidRPr="00C00C1D">
              <w:rPr>
                <w:lang w:val="pt-BR"/>
              </w:rPr>
              <w:t xml:space="preserve">Taxa de crescimento populacional total (2020-2050) = </w:t>
            </w:r>
          </w:p>
        </w:tc>
        <w:tc>
          <w:tcPr>
            <w:tcW w:w="1251" w:type="dxa"/>
            <w:tcBorders>
              <w:top w:val="nil"/>
              <w:left w:val="nil"/>
              <w:bottom w:val="single" w:sz="4" w:space="0" w:color="auto"/>
              <w:right w:val="single" w:sz="4" w:space="0" w:color="auto"/>
            </w:tcBorders>
            <w:shd w:val="clear" w:color="auto" w:fill="auto"/>
            <w:noWrap/>
            <w:vAlign w:val="bottom"/>
            <w:hideMark/>
          </w:tcPr>
          <w:p w14:paraId="70B80B25" w14:textId="219224E4" w:rsidR="00C00C1D" w:rsidRPr="002626E0" w:rsidRDefault="00C00C1D" w:rsidP="00C00C1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000000"/>
                <w:sz w:val="20"/>
                <w:szCs w:val="20"/>
                <w:bdr w:val="none" w:sz="0" w:space="0" w:color="auto"/>
              </w:rPr>
            </w:pPr>
            <w:r w:rsidRPr="002626E0">
              <w:rPr>
                <w:rFonts w:ascii="Calibri" w:eastAsia="Times New Roman" w:hAnsi="Calibri" w:cs="Calibri"/>
                <w:color w:val="000000"/>
                <w:sz w:val="20"/>
                <w:szCs w:val="20"/>
                <w:bdr w:val="none" w:sz="0" w:space="0" w:color="auto"/>
              </w:rPr>
              <w:t>0</w:t>
            </w:r>
            <w:r>
              <w:rPr>
                <w:rFonts w:ascii="Calibri" w:eastAsia="Times New Roman" w:hAnsi="Calibri" w:cs="Calibri"/>
                <w:color w:val="000000"/>
                <w:sz w:val="20"/>
                <w:szCs w:val="20"/>
                <w:bdr w:val="none" w:sz="0" w:space="0" w:color="auto"/>
              </w:rPr>
              <w:t>,</w:t>
            </w:r>
            <w:r w:rsidRPr="002626E0">
              <w:rPr>
                <w:rFonts w:ascii="Calibri" w:eastAsia="Times New Roman" w:hAnsi="Calibri" w:cs="Calibri"/>
                <w:color w:val="000000"/>
                <w:sz w:val="20"/>
                <w:szCs w:val="20"/>
                <w:bdr w:val="none" w:sz="0" w:space="0" w:color="auto"/>
              </w:rPr>
              <w:t>2%</w:t>
            </w:r>
          </w:p>
        </w:tc>
      </w:tr>
    </w:tbl>
    <w:p w14:paraId="77CA6957" w14:textId="53614AD0" w:rsidR="001156B0" w:rsidRDefault="00111B28" w:rsidP="00C00C1D">
      <w:p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pPr>
      <w:r>
        <w:rPr>
          <w:rStyle w:val="tlid-translation"/>
        </w:rPr>
        <w:br w:type="page"/>
      </w:r>
      <w:r w:rsidR="00D52B66">
        <w:rPr>
          <w:noProof/>
        </w:rPr>
        <w:lastRenderedPageBreak/>
        <w:drawing>
          <wp:inline distT="0" distB="0" distL="0" distR="0" wp14:anchorId="239D3FAE" wp14:editId="62A0BC91">
            <wp:extent cx="4572000" cy="2743199"/>
            <wp:effectExtent l="0" t="0" r="0" b="635"/>
            <wp:docPr id="1" name="Chart 1">
              <a:extLst xmlns:a="http://schemas.openxmlformats.org/drawingml/2006/main">
                <a:ext uri="{FF2B5EF4-FFF2-40B4-BE49-F238E27FC236}">
                  <a16:creationId xmlns:a16="http://schemas.microsoft.com/office/drawing/2014/main" id="{17A7440F-7C46-403B-B699-EDCB157E73B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255D64B" w14:textId="77777777" w:rsidR="00C00C1D" w:rsidRPr="00C00C1D" w:rsidRDefault="00C00C1D" w:rsidP="00111B28">
      <w:pPr>
        <w:pStyle w:val="Heading2"/>
        <w:spacing w:before="360" w:after="120"/>
        <w:rPr>
          <w:rStyle w:val="tlid-translation"/>
          <w:rFonts w:ascii="Arial" w:eastAsia="Arial Unicode MS" w:hAnsi="Arial" w:cs="Times New Roman"/>
          <w:b/>
          <w:color w:val="auto"/>
          <w:sz w:val="22"/>
          <w:szCs w:val="24"/>
          <w:lang w:val="pt-BR"/>
        </w:rPr>
      </w:pPr>
      <w:r w:rsidRPr="00C00C1D">
        <w:rPr>
          <w:rStyle w:val="tlid-translation"/>
          <w:rFonts w:ascii="Arial" w:eastAsia="Arial Unicode MS" w:hAnsi="Arial" w:cs="Times New Roman"/>
          <w:b/>
          <w:color w:val="auto"/>
          <w:sz w:val="22"/>
          <w:szCs w:val="24"/>
          <w:lang w:val="pt-BR"/>
        </w:rPr>
        <w:t xml:space="preserve">Figura 1. Linha de base da população de São Paulo </w:t>
      </w:r>
    </w:p>
    <w:p w14:paraId="1AF4597D" w14:textId="77777777" w:rsidR="00433D2D" w:rsidRDefault="00433D2D" w:rsidP="00B9168A">
      <w:pPr>
        <w:pBdr>
          <w:top w:val="none" w:sz="0" w:space="0" w:color="auto"/>
          <w:left w:val="none" w:sz="0" w:space="0" w:color="auto"/>
          <w:bottom w:val="none" w:sz="0" w:space="0" w:color="auto"/>
          <w:right w:val="none" w:sz="0" w:space="0" w:color="auto"/>
          <w:between w:val="none" w:sz="0" w:space="0" w:color="auto"/>
          <w:bar w:val="none" w:sz="0" w:color="auto"/>
        </w:pBdr>
        <w:spacing w:before="0" w:line="259" w:lineRule="auto"/>
        <w:rPr>
          <w:rStyle w:val="tlid-translation"/>
          <w:rFonts w:asciiTheme="majorHAnsi" w:eastAsiaTheme="majorEastAsia" w:hAnsiTheme="majorHAnsi" w:cstheme="majorBidi"/>
          <w:color w:val="2F5496" w:themeColor="accent1" w:themeShade="BF"/>
          <w:sz w:val="26"/>
          <w:szCs w:val="26"/>
        </w:rPr>
      </w:pPr>
    </w:p>
    <w:p w14:paraId="5AE1E617" w14:textId="2744F193" w:rsidR="00433D2D" w:rsidRPr="00433D2D" w:rsidRDefault="00433D2D" w:rsidP="00B9168A">
      <w:pPr>
        <w:pBdr>
          <w:top w:val="none" w:sz="0" w:space="0" w:color="auto"/>
          <w:left w:val="none" w:sz="0" w:space="0" w:color="auto"/>
          <w:bottom w:val="none" w:sz="0" w:space="0" w:color="auto"/>
          <w:right w:val="none" w:sz="0" w:space="0" w:color="auto"/>
          <w:between w:val="none" w:sz="0" w:space="0" w:color="auto"/>
          <w:bar w:val="none" w:sz="0" w:color="auto"/>
        </w:pBdr>
        <w:spacing w:before="0" w:line="259" w:lineRule="auto"/>
        <w:rPr>
          <w:rStyle w:val="tlid-translation"/>
          <w:rFonts w:asciiTheme="majorHAnsi" w:eastAsiaTheme="majorEastAsia" w:hAnsiTheme="majorHAnsi" w:cstheme="majorBidi"/>
          <w:color w:val="2F5496" w:themeColor="accent1" w:themeShade="BF"/>
          <w:sz w:val="26"/>
          <w:szCs w:val="26"/>
          <w:lang w:val="pt-BR"/>
        </w:rPr>
      </w:pPr>
      <w:r w:rsidRPr="00433D2D">
        <w:rPr>
          <w:rStyle w:val="tlid-translation"/>
          <w:rFonts w:asciiTheme="majorHAnsi" w:eastAsiaTheme="majorEastAsia" w:hAnsiTheme="majorHAnsi" w:cstheme="majorBidi"/>
          <w:color w:val="2F5496" w:themeColor="accent1" w:themeShade="BF"/>
          <w:sz w:val="26"/>
          <w:szCs w:val="26"/>
          <w:lang w:val="pt-BR"/>
        </w:rPr>
        <w:t>Crescimento Econômico e Estrutura</w:t>
      </w:r>
    </w:p>
    <w:p w14:paraId="44DA58BD" w14:textId="46BABAAD" w:rsidR="003845D3" w:rsidRPr="00433D2D" w:rsidRDefault="00433D2D" w:rsidP="00B9168A">
      <w:pPr>
        <w:pBdr>
          <w:top w:val="none" w:sz="0" w:space="0" w:color="auto"/>
          <w:left w:val="none" w:sz="0" w:space="0" w:color="auto"/>
          <w:bottom w:val="none" w:sz="0" w:space="0" w:color="auto"/>
          <w:right w:val="none" w:sz="0" w:space="0" w:color="auto"/>
          <w:between w:val="none" w:sz="0" w:space="0" w:color="auto"/>
          <w:bar w:val="none" w:sz="0" w:color="auto"/>
        </w:pBdr>
        <w:spacing w:before="0" w:line="259" w:lineRule="auto"/>
        <w:rPr>
          <w:rStyle w:val="tlid-translation"/>
          <w:lang w:val="pt-BR"/>
        </w:rPr>
      </w:pPr>
      <w:r w:rsidRPr="00433D2D">
        <w:rPr>
          <w:rStyle w:val="tlid-translation"/>
          <w:lang w:val="pt-BR"/>
        </w:rPr>
        <w:t>A Figura 2 fornece a linha de base para o crescimento econômico geral (GSP). Conforme observado no gráfico, os valores estão em bilhões de reais 2019 (milhões de reais). Os dados históricos de 2002-2016 foram retirados das mesmas publicações do IBGE citadas acima. Os dados do IBGE em reais foram convertidos para reais constantes de 2019 usando os deflatores do PIB para o Brasil do Banco Mundial. Não foram identificadas projeções econômicas para o Estado de São Paulo. As previsões de crescimento do PIB de longo prazo estão disponíveis na Organização para Cooperação e Desenvolvimento Econômico (OCDE) para o Brasil. As estimativas para o Brasil são mostradas na Figura 3. Geralmente, a tendência é de cerca de 4,7% / ano em 2020, com tendência de queda para ~ 2,0% / ano no final de 2020 e continuando a tendência de queda para 1,4% / ano em 2050</w:t>
      </w:r>
      <w:r w:rsidR="003845D3" w:rsidRPr="00433D2D">
        <w:rPr>
          <w:rStyle w:val="tlid-translation"/>
          <w:lang w:val="pt-BR"/>
        </w:rPr>
        <w:t xml:space="preserve">. </w:t>
      </w:r>
    </w:p>
    <w:p w14:paraId="7621260F" w14:textId="77777777" w:rsidR="00433D2D" w:rsidRDefault="00433D2D" w:rsidP="00CC233D">
      <w:pPr>
        <w:pBdr>
          <w:top w:val="none" w:sz="0" w:space="0" w:color="auto"/>
          <w:left w:val="none" w:sz="0" w:space="0" w:color="auto"/>
          <w:bottom w:val="none" w:sz="0" w:space="0" w:color="auto"/>
          <w:right w:val="none" w:sz="0" w:space="0" w:color="auto"/>
          <w:between w:val="none" w:sz="0" w:space="0" w:color="auto"/>
          <w:bar w:val="none" w:sz="0" w:color="auto"/>
        </w:pBdr>
        <w:spacing w:before="0" w:line="259" w:lineRule="auto"/>
        <w:rPr>
          <w:rStyle w:val="tlid-translation"/>
          <w:lang w:val="pt-BR"/>
        </w:rPr>
      </w:pPr>
      <w:r w:rsidRPr="00433D2D">
        <w:rPr>
          <w:rStyle w:val="tlid-translation"/>
          <w:lang w:val="pt-BR"/>
        </w:rPr>
        <w:t xml:space="preserve">A taxa de crescimento econômico de São Paulo tem sido semelhante à do país como um todo, embora talvez um pouco menos volátil. De 2006 a 2016, a taxa de crescimento econômico anual de São Paulo em termos reais foi em média de 1,8% / ano, em comparação com a taxa de crescimento nacional de 2,3% (a taxa de crescimento nacional é baseada nos dados da OCDE mencionados acima e também corresponde aos dados do mesmo período do Banco Mundial). Portanto, a aplicação da taxa de estimativas de crescimento nacional da OCDE para representar as condições em São Paulo poderia superestimar ligeiramente o crescimento em nível estadual; no entanto, esses são um bom ponto de partida na falta de outras estimativas. </w:t>
      </w:r>
    </w:p>
    <w:p w14:paraId="07BB62CF" w14:textId="6BB3DE31" w:rsidR="00F3176F" w:rsidRPr="00433D2D" w:rsidRDefault="00433D2D" w:rsidP="00CC233D">
      <w:pPr>
        <w:pBdr>
          <w:top w:val="none" w:sz="0" w:space="0" w:color="auto"/>
          <w:left w:val="none" w:sz="0" w:space="0" w:color="auto"/>
          <w:bottom w:val="none" w:sz="0" w:space="0" w:color="auto"/>
          <w:right w:val="none" w:sz="0" w:space="0" w:color="auto"/>
          <w:between w:val="none" w:sz="0" w:space="0" w:color="auto"/>
          <w:bar w:val="none" w:sz="0" w:color="auto"/>
        </w:pBdr>
        <w:spacing w:before="0" w:line="259" w:lineRule="auto"/>
        <w:rPr>
          <w:rStyle w:val="tlid-translation"/>
          <w:lang w:val="pt-BR"/>
        </w:rPr>
      </w:pPr>
      <w:r w:rsidRPr="00433D2D">
        <w:rPr>
          <w:rStyle w:val="tlid-translation"/>
          <w:lang w:val="pt-BR"/>
        </w:rPr>
        <w:t xml:space="preserve">As taxas de crescimento do GSP estavam diminuindo em meados de 2010 e houve uma recessão nacional em 2015-2016. Em SP, o GSP contraiu -2,9% / ano e -2,8% / ano durante esses anos (em comparação com -3,5% / ano e -3,3% / ano nacionalmente). De acordo com dados do Banco Mundial, o Brasil voltou ao crescimento econômico em 2017 e 2018 (1,1% ao ano em cada ano). As previsões da OCDE têm esses valores em 1,0% / ano e 2,0% / ano, respectivamente. Para os fins deste projeto, presume-se que o crescimento do SGP de São Paulo corresponda às taxas de crescimento nacional projetadas pela OCDE (ver Figura 3). </w:t>
      </w:r>
      <w:r w:rsidR="00F3176F" w:rsidRPr="00433D2D">
        <w:rPr>
          <w:rStyle w:val="tlid-translation"/>
          <w:lang w:val="pt-BR"/>
        </w:rPr>
        <w:br w:type="page"/>
      </w:r>
    </w:p>
    <w:p w14:paraId="69A50E63" w14:textId="12A85E04" w:rsidR="003E5410" w:rsidRPr="00433D2D" w:rsidRDefault="00F92BB8">
      <w:p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rPr>
          <w:rStyle w:val="tlid-translation"/>
          <w:lang w:val="pt-BR"/>
        </w:rPr>
      </w:pPr>
      <w:r>
        <w:rPr>
          <w:noProof/>
        </w:rPr>
        <w:drawing>
          <wp:inline distT="0" distB="0" distL="0" distR="0" wp14:anchorId="602B8CC7" wp14:editId="01C49985">
            <wp:extent cx="4572000" cy="2743199"/>
            <wp:effectExtent l="0" t="0" r="0" b="635"/>
            <wp:docPr id="2" name="Chart 2">
              <a:extLst xmlns:a="http://schemas.openxmlformats.org/drawingml/2006/main">
                <a:ext uri="{FF2B5EF4-FFF2-40B4-BE49-F238E27FC236}">
                  <a16:creationId xmlns:a16="http://schemas.microsoft.com/office/drawing/2014/main" id="{9E0F2B09-ED9B-457C-AB48-A6003701E71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926C43" w:rsidRPr="00433D2D">
        <w:rPr>
          <w:rStyle w:val="tlid-translation"/>
          <w:lang w:val="pt-BR"/>
        </w:rPr>
        <w:t xml:space="preserve"> </w:t>
      </w:r>
    </w:p>
    <w:p w14:paraId="0E34EB91" w14:textId="477BE325" w:rsidR="00433D2D"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after="240" w:line="259" w:lineRule="auto"/>
        <w:rPr>
          <w:rStyle w:val="tlid-translation"/>
          <w:rFonts w:ascii="Arial" w:hAnsi="Arial"/>
          <w:b/>
          <w:lang w:val="pt-BR"/>
        </w:rPr>
      </w:pPr>
      <w:r w:rsidRPr="00433D2D">
        <w:rPr>
          <w:rStyle w:val="tlid-translation"/>
          <w:rFonts w:ascii="Arial" w:hAnsi="Arial"/>
          <w:b/>
          <w:lang w:val="pt-BR"/>
        </w:rPr>
        <w:t xml:space="preserve">Figura 2. Linha de base real do </w:t>
      </w:r>
      <w:r>
        <w:rPr>
          <w:rStyle w:val="tlid-translation"/>
          <w:rFonts w:ascii="Arial" w:hAnsi="Arial"/>
          <w:b/>
          <w:lang w:val="pt-BR"/>
        </w:rPr>
        <w:t>PEB</w:t>
      </w:r>
      <w:r w:rsidRPr="00433D2D">
        <w:rPr>
          <w:rStyle w:val="tlid-translation"/>
          <w:rFonts w:ascii="Arial" w:hAnsi="Arial"/>
          <w:b/>
          <w:lang w:val="pt-BR"/>
        </w:rPr>
        <w:t xml:space="preserve"> para São Paulo </w:t>
      </w:r>
    </w:p>
    <w:p w14:paraId="05A1EF38" w14:textId="7772E7D6" w:rsidR="00030683" w:rsidRPr="00433D2D" w:rsidRDefault="00AA7B72" w:rsidP="00433D2D">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Style w:val="tlid-translation"/>
          <w:lang w:val="pt-BR"/>
        </w:rPr>
      </w:pPr>
      <w:r>
        <w:rPr>
          <w:noProof/>
        </w:rPr>
        <w:drawing>
          <wp:inline distT="0" distB="0" distL="0" distR="0" wp14:anchorId="5CDC567B" wp14:editId="13313267">
            <wp:extent cx="5775960" cy="2471596"/>
            <wp:effectExtent l="0" t="0" r="15240" b="5080"/>
            <wp:docPr id="3" name="Chart 3">
              <a:extLst xmlns:a="http://schemas.openxmlformats.org/drawingml/2006/main">
                <a:ext uri="{FF2B5EF4-FFF2-40B4-BE49-F238E27FC236}">
                  <a16:creationId xmlns:a16="http://schemas.microsoft.com/office/drawing/2014/main" id="{32C774C5-D772-497E-BD2C-5FF8760BC5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E69CE6F" w14:textId="77777777" w:rsidR="00433D2D"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after="360" w:line="259" w:lineRule="auto"/>
        <w:rPr>
          <w:rStyle w:val="tlid-translation"/>
          <w:rFonts w:ascii="Arial" w:hAnsi="Arial"/>
          <w:b/>
          <w:lang w:val="pt-BR"/>
        </w:rPr>
      </w:pPr>
      <w:r w:rsidRPr="00433D2D">
        <w:rPr>
          <w:rStyle w:val="tlid-translation"/>
          <w:rFonts w:ascii="Arial" w:hAnsi="Arial"/>
          <w:b/>
          <w:lang w:val="pt-BR"/>
        </w:rPr>
        <w:t xml:space="preserve">Figura 3. Previsão de crescimento real do PIB de longo prazo da OCDE para o Brasil </w:t>
      </w:r>
    </w:p>
    <w:p w14:paraId="7C25EDF6" w14:textId="01A40678" w:rsidR="003E5410" w:rsidRPr="00433D2D" w:rsidRDefault="00433D2D" w:rsidP="001975EA">
      <w:pPr>
        <w:pBdr>
          <w:top w:val="none" w:sz="0" w:space="0" w:color="auto"/>
          <w:left w:val="none" w:sz="0" w:space="0" w:color="auto"/>
          <w:bottom w:val="none" w:sz="0" w:space="0" w:color="auto"/>
          <w:right w:val="none" w:sz="0" w:space="0" w:color="auto"/>
          <w:between w:val="none" w:sz="0" w:space="0" w:color="auto"/>
          <w:bar w:val="none" w:sz="0" w:color="auto"/>
        </w:pBdr>
        <w:spacing w:before="360" w:line="259" w:lineRule="auto"/>
        <w:rPr>
          <w:rStyle w:val="tlid-translation"/>
          <w:lang w:val="pt-BR"/>
        </w:rPr>
      </w:pPr>
      <w:r w:rsidRPr="00433D2D">
        <w:rPr>
          <w:rStyle w:val="tlid-translation"/>
          <w:lang w:val="pt-BR"/>
        </w:rPr>
        <w:t>As Figuras 4a-4b fornecem uma análise histórica da economia de São Paulo com base no valor adicionado por cada atividade econômica para 2009 e 2015. Esses dados também são fornecidos em formato tabular na Tabela 1 e também foram retirados do IBGE. O tamanho das diferentes caixas representa a contribuição proporcional de cada atividade para a economia do estado (excluindo impostos e subsídios). Conforme indicado nestas figuras, o setor de transformação (manufatura) desempenha um papel fundamental na economia do estado. Contribuiu com mais de 30% do valor agregado total para a economia em 2015; no entanto, caiu de quase 36% em 2009. O crescimento dos serviços comerciais está começando a reduzir as contribuições gerais do setor manufatureiro. As principais categorias de serviços comerciais são venda / manutenção / reparação de veículos motorizados; serviços profissionais, científicos e técnicos e administrativos; serviços financeiros, de seguros e afins; e atividades imobiliárias</w:t>
      </w:r>
      <w:r w:rsidR="001975EA" w:rsidRPr="00433D2D">
        <w:rPr>
          <w:rStyle w:val="tlid-translation"/>
          <w:lang w:val="pt-BR"/>
        </w:rPr>
        <w:t>.</w:t>
      </w:r>
      <w:r w:rsidR="00FB2B36" w:rsidRPr="00433D2D">
        <w:rPr>
          <w:rStyle w:val="tlid-translation"/>
          <w:lang w:val="pt-BR"/>
        </w:rPr>
        <w:t xml:space="preserve">  </w:t>
      </w:r>
      <w:r w:rsidR="003E5410" w:rsidRPr="00433D2D">
        <w:rPr>
          <w:rStyle w:val="tlid-translation"/>
          <w:lang w:val="pt-BR"/>
        </w:rPr>
        <w:t xml:space="preserve"> </w:t>
      </w:r>
    </w:p>
    <w:p w14:paraId="579FD0CA" w14:textId="317A3B05" w:rsidR="00CC233D" w:rsidRPr="00433D2D" w:rsidRDefault="00433D2D" w:rsidP="00CC233D">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Style w:val="tlid-translation"/>
          <w:lang w:val="pt-BR"/>
        </w:rPr>
      </w:pPr>
      <w:r w:rsidRPr="00433D2D">
        <w:rPr>
          <w:rStyle w:val="tlid-translation"/>
          <w:lang w:val="pt-BR"/>
        </w:rPr>
        <w:t>As estimativas do GSP serão usadas em várias áreas de desenvolvimento de previsões BAU, principalmente nos setores de demanda de energia (indústria, comércio e setores de transporte). As aplicações comuns dos dados incluem a geração de taxas de crescimento anual de curto prazo (por exemplo, 2019-2030) para consumo de energia, consumo de materiais ou outra atividade. A documentação da construção de cada linha de base do setor fornece os detalhes. Energia de crescimento de longo prazo ou outros impulsionadores de emissões de GEE normalmente serão feitos com outras métricas socioeconômicas (por exemplo, GSP ou população)</w:t>
      </w:r>
      <w:r w:rsidR="00CC233D" w:rsidRPr="00433D2D">
        <w:rPr>
          <w:rStyle w:val="tlid-translation"/>
          <w:lang w:val="pt-BR"/>
        </w:rPr>
        <w:t xml:space="preserve">. </w:t>
      </w:r>
    </w:p>
    <w:p w14:paraId="44019EE9" w14:textId="33680A29" w:rsidR="00A6254B" w:rsidRPr="00433D2D" w:rsidRDefault="00433D2D" w:rsidP="001975EA">
      <w:pPr>
        <w:pBdr>
          <w:top w:val="none" w:sz="0" w:space="0" w:color="auto"/>
          <w:left w:val="none" w:sz="0" w:space="0" w:color="auto"/>
          <w:bottom w:val="none" w:sz="0" w:space="0" w:color="auto"/>
          <w:right w:val="none" w:sz="0" w:space="0" w:color="auto"/>
          <w:between w:val="none" w:sz="0" w:space="0" w:color="auto"/>
          <w:bar w:val="none" w:sz="0" w:color="auto"/>
        </w:pBdr>
        <w:spacing w:before="240" w:line="259" w:lineRule="auto"/>
        <w:jc w:val="center"/>
        <w:rPr>
          <w:rStyle w:val="tlid-translation"/>
          <w:b/>
          <w:bCs/>
          <w:lang w:val="pt-BR"/>
        </w:rPr>
      </w:pPr>
      <w:r w:rsidRPr="00433D2D">
        <w:rPr>
          <w:rStyle w:val="tlid-translation"/>
          <w:b/>
          <w:bCs/>
          <w:lang w:val="pt-BR"/>
        </w:rPr>
        <w:t>Tabela 1. Valor Adicionado por Atividade Econômica (milhões de reais 2019)</w:t>
      </w:r>
    </w:p>
    <w:tbl>
      <w:tblPr>
        <w:tblW w:w="8905" w:type="dxa"/>
        <w:tblLook w:val="04A0" w:firstRow="1" w:lastRow="0" w:firstColumn="1" w:lastColumn="0" w:noHBand="0" w:noVBand="1"/>
      </w:tblPr>
      <w:tblGrid>
        <w:gridCol w:w="6025"/>
        <w:gridCol w:w="1440"/>
        <w:gridCol w:w="1440"/>
      </w:tblGrid>
      <w:tr w:rsidR="00433D2D" w:rsidRPr="00EB5B2C" w14:paraId="175617A7" w14:textId="77777777" w:rsidTr="00C34919">
        <w:trPr>
          <w:trHeight w:val="315"/>
          <w:tblHeader/>
        </w:trPr>
        <w:tc>
          <w:tcPr>
            <w:tcW w:w="6025" w:type="dxa"/>
            <w:tcBorders>
              <w:top w:val="single" w:sz="4" w:space="0" w:color="auto"/>
              <w:left w:val="single" w:sz="4" w:space="0" w:color="auto"/>
              <w:bottom w:val="single" w:sz="4" w:space="0" w:color="auto"/>
              <w:right w:val="single" w:sz="4" w:space="0" w:color="auto"/>
            </w:tcBorders>
            <w:shd w:val="clear" w:color="auto" w:fill="auto"/>
            <w:noWrap/>
            <w:hideMark/>
          </w:tcPr>
          <w:p w14:paraId="7E0A2B62" w14:textId="4D803E7E"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000000"/>
                <w:szCs w:val="22"/>
                <w:bdr w:val="none" w:sz="0" w:space="0" w:color="auto"/>
              </w:rPr>
            </w:pPr>
            <w:proofErr w:type="spellStart"/>
            <w:r w:rsidRPr="00144EF0">
              <w:t>Atividade</w:t>
            </w:r>
            <w:proofErr w:type="spellEnd"/>
            <w:r w:rsidRPr="00144EF0">
              <w:t xml:space="preserve"> </w:t>
            </w:r>
            <w:proofErr w:type="spellStart"/>
            <w:r w:rsidRPr="00144EF0">
              <w:t>econômica</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672F5938" w14:textId="77777777"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000000"/>
                <w:szCs w:val="22"/>
                <w:bdr w:val="none" w:sz="0" w:space="0" w:color="auto"/>
              </w:rPr>
            </w:pPr>
            <w:r w:rsidRPr="00EB5B2C">
              <w:rPr>
                <w:rFonts w:ascii="Calibri" w:eastAsia="Times New Roman" w:hAnsi="Calibri" w:cs="Calibri"/>
                <w:b/>
                <w:bCs/>
                <w:color w:val="000000"/>
                <w:szCs w:val="22"/>
                <w:bdr w:val="none" w:sz="0" w:space="0" w:color="auto"/>
              </w:rPr>
              <w:t>2009</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1E7E94AF" w14:textId="77777777"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000000"/>
                <w:szCs w:val="22"/>
                <w:bdr w:val="none" w:sz="0" w:space="0" w:color="auto"/>
              </w:rPr>
            </w:pPr>
            <w:r w:rsidRPr="00EB5B2C">
              <w:rPr>
                <w:rFonts w:ascii="Calibri" w:eastAsia="Times New Roman" w:hAnsi="Calibri" w:cs="Calibri"/>
                <w:b/>
                <w:bCs/>
                <w:color w:val="000000"/>
                <w:szCs w:val="22"/>
                <w:bdr w:val="none" w:sz="0" w:space="0" w:color="auto"/>
              </w:rPr>
              <w:t>2015</w:t>
            </w:r>
          </w:p>
        </w:tc>
      </w:tr>
      <w:tr w:rsidR="00433D2D" w:rsidRPr="00EB5B2C" w14:paraId="2ED5D44A" w14:textId="77777777" w:rsidTr="00C34919">
        <w:trPr>
          <w:trHeight w:val="315"/>
        </w:trPr>
        <w:tc>
          <w:tcPr>
            <w:tcW w:w="6025" w:type="dxa"/>
            <w:tcBorders>
              <w:top w:val="nil"/>
              <w:left w:val="single" w:sz="4" w:space="0" w:color="auto"/>
              <w:bottom w:val="single" w:sz="4" w:space="0" w:color="auto"/>
              <w:right w:val="single" w:sz="4" w:space="0" w:color="auto"/>
            </w:tcBorders>
            <w:shd w:val="clear" w:color="auto" w:fill="auto"/>
            <w:noWrap/>
            <w:hideMark/>
          </w:tcPr>
          <w:p w14:paraId="5CD61451" w14:textId="7739DACE" w:rsidR="00433D2D" w:rsidRPr="00433D2D"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lang w:val="pt-BR"/>
              </w:rPr>
            </w:pPr>
            <w:r w:rsidRPr="00433D2D">
              <w:rPr>
                <w:lang w:val="pt-BR"/>
              </w:rPr>
              <w:t>Agricultura, incluindo suporte e pós-colheita</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D65F8A" w14:textId="7EB3309F"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R$ 126,561</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0A1BEB22" w14:textId="016A4A7C"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R$ 218,270</w:t>
            </w:r>
          </w:p>
        </w:tc>
      </w:tr>
      <w:tr w:rsidR="00433D2D" w:rsidRPr="00EB5B2C" w14:paraId="2946551E" w14:textId="77777777" w:rsidTr="00C34919">
        <w:trPr>
          <w:trHeight w:val="315"/>
        </w:trPr>
        <w:tc>
          <w:tcPr>
            <w:tcW w:w="6025" w:type="dxa"/>
            <w:tcBorders>
              <w:top w:val="nil"/>
              <w:left w:val="single" w:sz="4" w:space="0" w:color="auto"/>
              <w:bottom w:val="single" w:sz="4" w:space="0" w:color="auto"/>
              <w:right w:val="single" w:sz="4" w:space="0" w:color="auto"/>
            </w:tcBorders>
            <w:shd w:val="clear" w:color="auto" w:fill="auto"/>
            <w:noWrap/>
            <w:hideMark/>
          </w:tcPr>
          <w:p w14:paraId="5C3DE73C" w14:textId="736B55EA"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rPr>
            </w:pPr>
            <w:proofErr w:type="spellStart"/>
            <w:r w:rsidRPr="00144EF0">
              <w:t>Pecuária</w:t>
            </w:r>
            <w:proofErr w:type="spellEnd"/>
            <w:r w:rsidRPr="00144EF0">
              <w:t xml:space="preserve">, </w:t>
            </w:r>
            <w:proofErr w:type="spellStart"/>
            <w:r w:rsidRPr="00144EF0">
              <w:t>incluindo</w:t>
            </w:r>
            <w:proofErr w:type="spellEnd"/>
            <w:r w:rsidRPr="00144EF0">
              <w:t xml:space="preserve"> </w:t>
            </w:r>
            <w:proofErr w:type="spellStart"/>
            <w:r w:rsidRPr="00144EF0">
              <w:t>apoio</w:t>
            </w:r>
            <w:proofErr w:type="spellEnd"/>
            <w:r w:rsidRPr="00144EF0">
              <w:t xml:space="preserve"> </w:t>
            </w:r>
            <w:proofErr w:type="spellStart"/>
            <w:r w:rsidRPr="00144EF0">
              <w:t>pecuário</w:t>
            </w:r>
            <w:proofErr w:type="spellEnd"/>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4DDCC628" w14:textId="65CB4246"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R$ 27,874</w:t>
            </w:r>
          </w:p>
        </w:tc>
        <w:tc>
          <w:tcPr>
            <w:tcW w:w="1440" w:type="dxa"/>
            <w:tcBorders>
              <w:top w:val="nil"/>
              <w:left w:val="nil"/>
              <w:bottom w:val="single" w:sz="4" w:space="0" w:color="auto"/>
              <w:right w:val="single" w:sz="4" w:space="0" w:color="auto"/>
            </w:tcBorders>
            <w:shd w:val="clear" w:color="auto" w:fill="auto"/>
            <w:noWrap/>
            <w:vAlign w:val="bottom"/>
            <w:hideMark/>
          </w:tcPr>
          <w:p w14:paraId="29AAD2CF" w14:textId="252B45F6"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R$ 43,547</w:t>
            </w:r>
          </w:p>
        </w:tc>
      </w:tr>
      <w:tr w:rsidR="00433D2D" w:rsidRPr="00EB5B2C" w14:paraId="31F1B5CB" w14:textId="77777777" w:rsidTr="00C34919">
        <w:trPr>
          <w:trHeight w:val="315"/>
        </w:trPr>
        <w:tc>
          <w:tcPr>
            <w:tcW w:w="6025" w:type="dxa"/>
            <w:tcBorders>
              <w:top w:val="nil"/>
              <w:left w:val="single" w:sz="4" w:space="0" w:color="auto"/>
              <w:bottom w:val="single" w:sz="4" w:space="0" w:color="auto"/>
              <w:right w:val="single" w:sz="4" w:space="0" w:color="auto"/>
            </w:tcBorders>
            <w:shd w:val="clear" w:color="auto" w:fill="auto"/>
            <w:noWrap/>
            <w:hideMark/>
          </w:tcPr>
          <w:p w14:paraId="0A3C22AA" w14:textId="647CD152" w:rsidR="00433D2D" w:rsidRPr="00433D2D"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lang w:val="pt-BR"/>
              </w:rPr>
            </w:pPr>
            <w:r w:rsidRPr="00433D2D">
              <w:rPr>
                <w:lang w:val="pt-BR"/>
              </w:rPr>
              <w:t>Produção florestal, pesca e aquicultura</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400A812A" w14:textId="788BF2AF"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R$ 5,931</w:t>
            </w:r>
          </w:p>
        </w:tc>
        <w:tc>
          <w:tcPr>
            <w:tcW w:w="1440" w:type="dxa"/>
            <w:tcBorders>
              <w:top w:val="nil"/>
              <w:left w:val="nil"/>
              <w:bottom w:val="single" w:sz="4" w:space="0" w:color="auto"/>
              <w:right w:val="single" w:sz="4" w:space="0" w:color="auto"/>
            </w:tcBorders>
            <w:shd w:val="clear" w:color="auto" w:fill="auto"/>
            <w:noWrap/>
            <w:vAlign w:val="bottom"/>
            <w:hideMark/>
          </w:tcPr>
          <w:p w14:paraId="6E0A04F1" w14:textId="4D29C08B"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R$ 5,391</w:t>
            </w:r>
          </w:p>
        </w:tc>
      </w:tr>
      <w:tr w:rsidR="00433D2D" w:rsidRPr="00EB5B2C" w14:paraId="67B38CF2" w14:textId="77777777" w:rsidTr="00C34919">
        <w:trPr>
          <w:trHeight w:val="315"/>
        </w:trPr>
        <w:tc>
          <w:tcPr>
            <w:tcW w:w="6025" w:type="dxa"/>
            <w:tcBorders>
              <w:top w:val="nil"/>
              <w:left w:val="single" w:sz="4" w:space="0" w:color="auto"/>
              <w:bottom w:val="single" w:sz="4" w:space="0" w:color="auto"/>
              <w:right w:val="single" w:sz="4" w:space="0" w:color="auto"/>
            </w:tcBorders>
            <w:shd w:val="clear" w:color="auto" w:fill="auto"/>
            <w:noWrap/>
            <w:hideMark/>
          </w:tcPr>
          <w:p w14:paraId="20D80C22" w14:textId="2BA2ECB2"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rPr>
            </w:pPr>
            <w:proofErr w:type="spellStart"/>
            <w:r w:rsidRPr="00144EF0">
              <w:t>Indústria</w:t>
            </w:r>
            <w:proofErr w:type="spellEnd"/>
            <w:r w:rsidRPr="00144EF0">
              <w:t xml:space="preserve"> </w:t>
            </w:r>
            <w:proofErr w:type="spellStart"/>
            <w:r w:rsidRPr="00144EF0">
              <w:t>extrativa</w:t>
            </w:r>
            <w:proofErr w:type="spellEnd"/>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1B563099" w14:textId="208BF594"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R$ 2,966,126</w:t>
            </w:r>
          </w:p>
        </w:tc>
        <w:tc>
          <w:tcPr>
            <w:tcW w:w="1440" w:type="dxa"/>
            <w:tcBorders>
              <w:top w:val="nil"/>
              <w:left w:val="nil"/>
              <w:bottom w:val="single" w:sz="4" w:space="0" w:color="auto"/>
              <w:right w:val="single" w:sz="4" w:space="0" w:color="auto"/>
            </w:tcBorders>
            <w:shd w:val="clear" w:color="auto" w:fill="auto"/>
            <w:noWrap/>
            <w:vAlign w:val="bottom"/>
            <w:hideMark/>
          </w:tcPr>
          <w:p w14:paraId="5493128E" w14:textId="527044BC"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R$ 3,855,953</w:t>
            </w:r>
          </w:p>
        </w:tc>
      </w:tr>
      <w:tr w:rsidR="00433D2D" w:rsidRPr="00EB5B2C" w14:paraId="7DB82AFC" w14:textId="77777777" w:rsidTr="00C34919">
        <w:trPr>
          <w:trHeight w:val="315"/>
        </w:trPr>
        <w:tc>
          <w:tcPr>
            <w:tcW w:w="6025" w:type="dxa"/>
            <w:tcBorders>
              <w:top w:val="nil"/>
              <w:left w:val="single" w:sz="4" w:space="0" w:color="auto"/>
              <w:bottom w:val="single" w:sz="4" w:space="0" w:color="auto"/>
              <w:right w:val="single" w:sz="4" w:space="0" w:color="auto"/>
            </w:tcBorders>
            <w:shd w:val="clear" w:color="auto" w:fill="auto"/>
            <w:noWrap/>
            <w:hideMark/>
          </w:tcPr>
          <w:p w14:paraId="6E331852" w14:textId="70AD5867"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rPr>
            </w:pPr>
            <w:proofErr w:type="spellStart"/>
            <w:r w:rsidRPr="00144EF0">
              <w:t>Indústria</w:t>
            </w:r>
            <w:proofErr w:type="spellEnd"/>
            <w:r w:rsidRPr="00144EF0">
              <w:t xml:space="preserve"> de </w:t>
            </w:r>
            <w:proofErr w:type="spellStart"/>
            <w:r w:rsidRPr="00144EF0">
              <w:t>transformação</w:t>
            </w:r>
            <w:proofErr w:type="spellEnd"/>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3938FE05" w14:textId="6B02622F"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R$ 11,653</w:t>
            </w:r>
          </w:p>
        </w:tc>
        <w:tc>
          <w:tcPr>
            <w:tcW w:w="1440" w:type="dxa"/>
            <w:tcBorders>
              <w:top w:val="nil"/>
              <w:left w:val="nil"/>
              <w:bottom w:val="single" w:sz="4" w:space="0" w:color="auto"/>
              <w:right w:val="single" w:sz="4" w:space="0" w:color="auto"/>
            </w:tcBorders>
            <w:shd w:val="clear" w:color="auto" w:fill="auto"/>
            <w:noWrap/>
            <w:vAlign w:val="bottom"/>
            <w:hideMark/>
          </w:tcPr>
          <w:p w14:paraId="5A75E5F3" w14:textId="4BDC38EC"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R$ 46,183</w:t>
            </w:r>
          </w:p>
        </w:tc>
      </w:tr>
      <w:tr w:rsidR="00433D2D" w:rsidRPr="00EB5B2C" w14:paraId="57E421CB" w14:textId="77777777" w:rsidTr="00C34919">
        <w:trPr>
          <w:trHeight w:val="315"/>
        </w:trPr>
        <w:tc>
          <w:tcPr>
            <w:tcW w:w="6025" w:type="dxa"/>
            <w:tcBorders>
              <w:top w:val="nil"/>
              <w:left w:val="single" w:sz="4" w:space="0" w:color="auto"/>
              <w:bottom w:val="single" w:sz="4" w:space="0" w:color="auto"/>
              <w:right w:val="single" w:sz="4" w:space="0" w:color="auto"/>
            </w:tcBorders>
            <w:shd w:val="clear" w:color="auto" w:fill="auto"/>
            <w:noWrap/>
            <w:hideMark/>
          </w:tcPr>
          <w:p w14:paraId="1D5609B9" w14:textId="4389F89A" w:rsidR="00433D2D" w:rsidRPr="00433D2D"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lang w:val="pt-BR"/>
              </w:rPr>
            </w:pPr>
            <w:r w:rsidRPr="00433D2D">
              <w:rPr>
                <w:lang w:val="pt-BR"/>
              </w:rPr>
              <w:t>Eletricidade e gás, água, esgoto, gestão de resíduos e atividades de descontaminação</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08BFC192" w14:textId="11DCE2E5"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R$ 2,089,919</w:t>
            </w:r>
          </w:p>
        </w:tc>
        <w:tc>
          <w:tcPr>
            <w:tcW w:w="1440" w:type="dxa"/>
            <w:tcBorders>
              <w:top w:val="nil"/>
              <w:left w:val="nil"/>
              <w:bottom w:val="single" w:sz="4" w:space="0" w:color="auto"/>
              <w:right w:val="single" w:sz="4" w:space="0" w:color="auto"/>
            </w:tcBorders>
            <w:shd w:val="clear" w:color="auto" w:fill="auto"/>
            <w:noWrap/>
            <w:vAlign w:val="bottom"/>
            <w:hideMark/>
          </w:tcPr>
          <w:p w14:paraId="3F71BCD4" w14:textId="2F2E1FDE"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R$ 2,683,130</w:t>
            </w:r>
          </w:p>
        </w:tc>
      </w:tr>
      <w:tr w:rsidR="00433D2D" w:rsidRPr="00EB5B2C" w14:paraId="7859FDEA" w14:textId="77777777" w:rsidTr="00C34919">
        <w:trPr>
          <w:trHeight w:val="315"/>
        </w:trPr>
        <w:tc>
          <w:tcPr>
            <w:tcW w:w="6025" w:type="dxa"/>
            <w:tcBorders>
              <w:top w:val="nil"/>
              <w:left w:val="single" w:sz="4" w:space="0" w:color="auto"/>
              <w:bottom w:val="single" w:sz="4" w:space="0" w:color="auto"/>
              <w:right w:val="single" w:sz="4" w:space="0" w:color="auto"/>
            </w:tcBorders>
            <w:shd w:val="clear" w:color="auto" w:fill="auto"/>
            <w:noWrap/>
            <w:hideMark/>
          </w:tcPr>
          <w:p w14:paraId="65F1602E" w14:textId="34C6C4BD"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rPr>
            </w:pPr>
            <w:proofErr w:type="spellStart"/>
            <w:r w:rsidRPr="00144EF0">
              <w:t>Construção</w:t>
            </w:r>
            <w:proofErr w:type="spellEnd"/>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7803B314" w14:textId="0D176275"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R$ 119,919</w:t>
            </w:r>
          </w:p>
        </w:tc>
        <w:tc>
          <w:tcPr>
            <w:tcW w:w="1440" w:type="dxa"/>
            <w:tcBorders>
              <w:top w:val="nil"/>
              <w:left w:val="nil"/>
              <w:bottom w:val="single" w:sz="4" w:space="0" w:color="auto"/>
              <w:right w:val="single" w:sz="4" w:space="0" w:color="auto"/>
            </w:tcBorders>
            <w:shd w:val="clear" w:color="auto" w:fill="auto"/>
            <w:noWrap/>
            <w:vAlign w:val="bottom"/>
            <w:hideMark/>
          </w:tcPr>
          <w:p w14:paraId="40F9F576" w14:textId="18A34702"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R$ 169,446</w:t>
            </w:r>
          </w:p>
        </w:tc>
      </w:tr>
      <w:tr w:rsidR="00433D2D" w:rsidRPr="00EB5B2C" w14:paraId="694C845A" w14:textId="77777777" w:rsidTr="00C34919">
        <w:trPr>
          <w:trHeight w:val="315"/>
        </w:trPr>
        <w:tc>
          <w:tcPr>
            <w:tcW w:w="6025" w:type="dxa"/>
            <w:tcBorders>
              <w:top w:val="nil"/>
              <w:left w:val="single" w:sz="4" w:space="0" w:color="auto"/>
              <w:bottom w:val="single" w:sz="4" w:space="0" w:color="auto"/>
              <w:right w:val="single" w:sz="4" w:space="0" w:color="auto"/>
            </w:tcBorders>
            <w:shd w:val="clear" w:color="auto" w:fill="auto"/>
            <w:noWrap/>
            <w:hideMark/>
          </w:tcPr>
          <w:p w14:paraId="2F6EE5E8" w14:textId="00F37995" w:rsidR="00433D2D" w:rsidRPr="00433D2D"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lang w:val="pt-BR"/>
              </w:rPr>
            </w:pPr>
            <w:r w:rsidRPr="00433D2D">
              <w:rPr>
                <w:lang w:val="pt-BR"/>
              </w:rPr>
              <w:t>Venda, manutenção e reparação de veículos motorizados e motociclos</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4C76BE56" w14:textId="3AAA6D35"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R$ 293,457</w:t>
            </w:r>
          </w:p>
        </w:tc>
        <w:tc>
          <w:tcPr>
            <w:tcW w:w="1440" w:type="dxa"/>
            <w:tcBorders>
              <w:top w:val="nil"/>
              <w:left w:val="nil"/>
              <w:bottom w:val="single" w:sz="4" w:space="0" w:color="auto"/>
              <w:right w:val="single" w:sz="4" w:space="0" w:color="auto"/>
            </w:tcBorders>
            <w:shd w:val="clear" w:color="auto" w:fill="auto"/>
            <w:noWrap/>
            <w:vAlign w:val="bottom"/>
            <w:hideMark/>
          </w:tcPr>
          <w:p w14:paraId="0270C6E8" w14:textId="3D679A20"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R$ 373,045</w:t>
            </w:r>
          </w:p>
        </w:tc>
      </w:tr>
      <w:tr w:rsidR="00433D2D" w:rsidRPr="00EB5B2C" w14:paraId="0121BF69" w14:textId="77777777" w:rsidTr="00C34919">
        <w:trPr>
          <w:trHeight w:val="315"/>
        </w:trPr>
        <w:tc>
          <w:tcPr>
            <w:tcW w:w="6025" w:type="dxa"/>
            <w:tcBorders>
              <w:top w:val="nil"/>
              <w:left w:val="single" w:sz="4" w:space="0" w:color="auto"/>
              <w:bottom w:val="single" w:sz="4" w:space="0" w:color="auto"/>
              <w:right w:val="single" w:sz="4" w:space="0" w:color="auto"/>
            </w:tcBorders>
            <w:shd w:val="clear" w:color="auto" w:fill="auto"/>
            <w:noWrap/>
            <w:hideMark/>
          </w:tcPr>
          <w:p w14:paraId="377E661C" w14:textId="6D951871"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rPr>
            </w:pPr>
            <w:proofErr w:type="spellStart"/>
            <w:r w:rsidRPr="00144EF0">
              <w:t>Transporte</w:t>
            </w:r>
            <w:proofErr w:type="spellEnd"/>
            <w:r w:rsidRPr="00144EF0">
              <w:t xml:space="preserve">, </w:t>
            </w:r>
            <w:proofErr w:type="spellStart"/>
            <w:r w:rsidRPr="00144EF0">
              <w:t>armazenamento</w:t>
            </w:r>
            <w:proofErr w:type="spellEnd"/>
            <w:r w:rsidRPr="00144EF0">
              <w:t xml:space="preserve"> e </w:t>
            </w:r>
            <w:proofErr w:type="spellStart"/>
            <w:r w:rsidRPr="00144EF0">
              <w:t>correio</w:t>
            </w:r>
            <w:proofErr w:type="spellEnd"/>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07200BDA" w14:textId="24DC46C3"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R$ 2,573,465</w:t>
            </w:r>
          </w:p>
        </w:tc>
        <w:tc>
          <w:tcPr>
            <w:tcW w:w="1440" w:type="dxa"/>
            <w:tcBorders>
              <w:top w:val="nil"/>
              <w:left w:val="nil"/>
              <w:bottom w:val="single" w:sz="4" w:space="0" w:color="auto"/>
              <w:right w:val="single" w:sz="4" w:space="0" w:color="auto"/>
            </w:tcBorders>
            <w:shd w:val="clear" w:color="auto" w:fill="auto"/>
            <w:noWrap/>
            <w:vAlign w:val="bottom"/>
            <w:hideMark/>
          </w:tcPr>
          <w:p w14:paraId="73736F34" w14:textId="0074DF24"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R$ 4,332,679</w:t>
            </w:r>
          </w:p>
        </w:tc>
      </w:tr>
      <w:tr w:rsidR="00433D2D" w:rsidRPr="00EB5B2C" w14:paraId="4709CF04" w14:textId="77777777" w:rsidTr="00C34919">
        <w:trPr>
          <w:trHeight w:val="315"/>
        </w:trPr>
        <w:tc>
          <w:tcPr>
            <w:tcW w:w="6025" w:type="dxa"/>
            <w:tcBorders>
              <w:top w:val="nil"/>
              <w:left w:val="single" w:sz="4" w:space="0" w:color="auto"/>
              <w:bottom w:val="single" w:sz="4" w:space="0" w:color="auto"/>
              <w:right w:val="single" w:sz="4" w:space="0" w:color="auto"/>
            </w:tcBorders>
            <w:shd w:val="clear" w:color="auto" w:fill="auto"/>
            <w:noWrap/>
            <w:hideMark/>
          </w:tcPr>
          <w:p w14:paraId="06B8D878" w14:textId="66E9DBEB" w:rsidR="00433D2D" w:rsidRPr="00433D2D"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lang w:val="pt-BR"/>
              </w:rPr>
            </w:pPr>
            <w:r w:rsidRPr="00433D2D">
              <w:rPr>
                <w:lang w:val="pt-BR"/>
              </w:rPr>
              <w:t>Serviços de hospedagem e alimentação</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7C552558" w14:textId="247D15D7"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R$ 418,263</w:t>
            </w:r>
          </w:p>
        </w:tc>
        <w:tc>
          <w:tcPr>
            <w:tcW w:w="1440" w:type="dxa"/>
            <w:tcBorders>
              <w:top w:val="nil"/>
              <w:left w:val="nil"/>
              <w:bottom w:val="single" w:sz="4" w:space="0" w:color="auto"/>
              <w:right w:val="single" w:sz="4" w:space="0" w:color="auto"/>
            </w:tcBorders>
            <w:shd w:val="clear" w:color="auto" w:fill="auto"/>
            <w:noWrap/>
            <w:vAlign w:val="bottom"/>
            <w:hideMark/>
          </w:tcPr>
          <w:p w14:paraId="69869DAF" w14:textId="52500C3B"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R$ 728,237</w:t>
            </w:r>
          </w:p>
        </w:tc>
      </w:tr>
      <w:tr w:rsidR="00433D2D" w:rsidRPr="00EB5B2C" w14:paraId="15B95C10" w14:textId="77777777" w:rsidTr="00C34919">
        <w:trPr>
          <w:trHeight w:val="315"/>
        </w:trPr>
        <w:tc>
          <w:tcPr>
            <w:tcW w:w="6025" w:type="dxa"/>
            <w:tcBorders>
              <w:top w:val="nil"/>
              <w:left w:val="single" w:sz="4" w:space="0" w:color="auto"/>
              <w:bottom w:val="single" w:sz="4" w:space="0" w:color="auto"/>
              <w:right w:val="single" w:sz="4" w:space="0" w:color="auto"/>
            </w:tcBorders>
            <w:shd w:val="clear" w:color="auto" w:fill="auto"/>
            <w:noWrap/>
            <w:hideMark/>
          </w:tcPr>
          <w:p w14:paraId="5E57B101" w14:textId="78F2570D" w:rsidR="00433D2D" w:rsidRPr="00433D2D"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lang w:val="pt-BR"/>
              </w:rPr>
            </w:pPr>
            <w:r w:rsidRPr="00433D2D">
              <w:rPr>
                <w:lang w:val="pt-BR"/>
              </w:rPr>
              <w:t>Serviços de Informação e Comunicação</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652E6A6C" w14:textId="5997B538"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R$ 196,961</w:t>
            </w:r>
          </w:p>
        </w:tc>
        <w:tc>
          <w:tcPr>
            <w:tcW w:w="1440" w:type="dxa"/>
            <w:tcBorders>
              <w:top w:val="nil"/>
              <w:left w:val="nil"/>
              <w:bottom w:val="single" w:sz="4" w:space="0" w:color="auto"/>
              <w:right w:val="single" w:sz="4" w:space="0" w:color="auto"/>
            </w:tcBorders>
            <w:shd w:val="clear" w:color="auto" w:fill="auto"/>
            <w:noWrap/>
            <w:vAlign w:val="bottom"/>
            <w:hideMark/>
          </w:tcPr>
          <w:p w14:paraId="40B5A320" w14:textId="7E7DEB91"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R$ 308,446</w:t>
            </w:r>
          </w:p>
        </w:tc>
      </w:tr>
      <w:tr w:rsidR="00433D2D" w:rsidRPr="00EB5B2C" w14:paraId="4973E5FE" w14:textId="77777777" w:rsidTr="00C34919">
        <w:trPr>
          <w:trHeight w:val="315"/>
        </w:trPr>
        <w:tc>
          <w:tcPr>
            <w:tcW w:w="6025" w:type="dxa"/>
            <w:tcBorders>
              <w:top w:val="nil"/>
              <w:left w:val="single" w:sz="4" w:space="0" w:color="auto"/>
              <w:bottom w:val="single" w:sz="4" w:space="0" w:color="auto"/>
              <w:right w:val="single" w:sz="4" w:space="0" w:color="auto"/>
            </w:tcBorders>
            <w:shd w:val="clear" w:color="auto" w:fill="auto"/>
            <w:noWrap/>
            <w:hideMark/>
          </w:tcPr>
          <w:p w14:paraId="030D8BA9" w14:textId="7022B964" w:rsidR="00433D2D" w:rsidRPr="00433D2D"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lang w:val="pt-BR"/>
              </w:rPr>
            </w:pPr>
            <w:r w:rsidRPr="00433D2D">
              <w:rPr>
                <w:lang w:val="pt-BR"/>
              </w:rPr>
              <w:t>Atividades financeiras, de seguros e serviços relacionados</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39B38E90" w14:textId="3C17CF3A"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R$ 78,522</w:t>
            </w:r>
          </w:p>
        </w:tc>
        <w:tc>
          <w:tcPr>
            <w:tcW w:w="1440" w:type="dxa"/>
            <w:tcBorders>
              <w:top w:val="nil"/>
              <w:left w:val="nil"/>
              <w:bottom w:val="single" w:sz="4" w:space="0" w:color="auto"/>
              <w:right w:val="single" w:sz="4" w:space="0" w:color="auto"/>
            </w:tcBorders>
            <w:shd w:val="clear" w:color="auto" w:fill="auto"/>
            <w:noWrap/>
            <w:vAlign w:val="bottom"/>
            <w:hideMark/>
          </w:tcPr>
          <w:p w14:paraId="3870FEAF" w14:textId="551AE6D0"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R$ 136,711</w:t>
            </w:r>
          </w:p>
        </w:tc>
      </w:tr>
      <w:tr w:rsidR="00433D2D" w:rsidRPr="00EB5B2C" w14:paraId="4F7188B0" w14:textId="77777777" w:rsidTr="00C34919">
        <w:trPr>
          <w:trHeight w:val="315"/>
        </w:trPr>
        <w:tc>
          <w:tcPr>
            <w:tcW w:w="6025" w:type="dxa"/>
            <w:tcBorders>
              <w:top w:val="nil"/>
              <w:left w:val="single" w:sz="4" w:space="0" w:color="auto"/>
              <w:bottom w:val="single" w:sz="4" w:space="0" w:color="auto"/>
              <w:right w:val="single" w:sz="4" w:space="0" w:color="auto"/>
            </w:tcBorders>
            <w:shd w:val="clear" w:color="auto" w:fill="auto"/>
            <w:noWrap/>
            <w:hideMark/>
          </w:tcPr>
          <w:p w14:paraId="7E4B27D9" w14:textId="50D99CBC"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rPr>
            </w:pPr>
            <w:proofErr w:type="spellStart"/>
            <w:r w:rsidRPr="00144EF0">
              <w:t>Atividades</w:t>
            </w:r>
            <w:proofErr w:type="spellEnd"/>
            <w:r w:rsidRPr="00144EF0">
              <w:t xml:space="preserve"> </w:t>
            </w:r>
            <w:proofErr w:type="spellStart"/>
            <w:r w:rsidRPr="00144EF0">
              <w:t>imobiliárias</w:t>
            </w:r>
            <w:proofErr w:type="spellEnd"/>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2444A339" w14:textId="49B0B481"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R$ 184,660</w:t>
            </w:r>
          </w:p>
        </w:tc>
        <w:tc>
          <w:tcPr>
            <w:tcW w:w="1440" w:type="dxa"/>
            <w:tcBorders>
              <w:top w:val="nil"/>
              <w:left w:val="nil"/>
              <w:bottom w:val="single" w:sz="4" w:space="0" w:color="auto"/>
              <w:right w:val="single" w:sz="4" w:space="0" w:color="auto"/>
            </w:tcBorders>
            <w:shd w:val="clear" w:color="auto" w:fill="auto"/>
            <w:noWrap/>
            <w:vAlign w:val="bottom"/>
            <w:hideMark/>
          </w:tcPr>
          <w:p w14:paraId="7836910E" w14:textId="5B088125"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R$ 258,681</w:t>
            </w:r>
          </w:p>
        </w:tc>
      </w:tr>
      <w:tr w:rsidR="00433D2D" w:rsidRPr="00EB5B2C" w14:paraId="39595937" w14:textId="77777777" w:rsidTr="00C34919">
        <w:trPr>
          <w:trHeight w:val="315"/>
        </w:trPr>
        <w:tc>
          <w:tcPr>
            <w:tcW w:w="6025" w:type="dxa"/>
            <w:tcBorders>
              <w:top w:val="nil"/>
              <w:left w:val="single" w:sz="4" w:space="0" w:color="auto"/>
              <w:bottom w:val="single" w:sz="4" w:space="0" w:color="auto"/>
              <w:right w:val="single" w:sz="4" w:space="0" w:color="auto"/>
            </w:tcBorders>
            <w:shd w:val="clear" w:color="auto" w:fill="auto"/>
            <w:noWrap/>
            <w:hideMark/>
          </w:tcPr>
          <w:p w14:paraId="5195AC1E" w14:textId="197F9C63" w:rsidR="00433D2D" w:rsidRPr="00433D2D"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lang w:val="pt-BR"/>
              </w:rPr>
            </w:pPr>
            <w:r w:rsidRPr="00433D2D">
              <w:rPr>
                <w:lang w:val="pt-BR"/>
              </w:rPr>
              <w:t>Atividades profissionais, científicas e técnicas, administrativas e serviços complementares</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75F8CF1D" w14:textId="2E3DF858"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R$ 299,748</w:t>
            </w:r>
          </w:p>
        </w:tc>
        <w:tc>
          <w:tcPr>
            <w:tcW w:w="1440" w:type="dxa"/>
            <w:tcBorders>
              <w:top w:val="nil"/>
              <w:left w:val="nil"/>
              <w:bottom w:val="single" w:sz="4" w:space="0" w:color="auto"/>
              <w:right w:val="single" w:sz="4" w:space="0" w:color="auto"/>
            </w:tcBorders>
            <w:shd w:val="clear" w:color="auto" w:fill="auto"/>
            <w:noWrap/>
            <w:vAlign w:val="bottom"/>
            <w:hideMark/>
          </w:tcPr>
          <w:p w14:paraId="652E9208" w14:textId="64D6F4FA"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R$ 498,631</w:t>
            </w:r>
          </w:p>
        </w:tc>
      </w:tr>
      <w:tr w:rsidR="00433D2D" w:rsidRPr="00EB5B2C" w14:paraId="55B89979" w14:textId="77777777" w:rsidTr="00C34919">
        <w:trPr>
          <w:trHeight w:val="315"/>
        </w:trPr>
        <w:tc>
          <w:tcPr>
            <w:tcW w:w="6025" w:type="dxa"/>
            <w:tcBorders>
              <w:top w:val="nil"/>
              <w:left w:val="single" w:sz="4" w:space="0" w:color="auto"/>
              <w:bottom w:val="single" w:sz="4" w:space="0" w:color="auto"/>
              <w:right w:val="single" w:sz="4" w:space="0" w:color="auto"/>
            </w:tcBorders>
            <w:shd w:val="clear" w:color="auto" w:fill="auto"/>
            <w:noWrap/>
            <w:hideMark/>
          </w:tcPr>
          <w:p w14:paraId="33C06A33" w14:textId="2A33BD54" w:rsidR="00433D2D" w:rsidRPr="00433D2D"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lang w:val="pt-BR"/>
              </w:rPr>
            </w:pPr>
            <w:r w:rsidRPr="00433D2D">
              <w:rPr>
                <w:lang w:val="pt-BR"/>
              </w:rPr>
              <w:t>Administração, educação e saúde pública, defesa e seguridade social</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77B6EA7C" w14:textId="620568BC"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R$ 123,368</w:t>
            </w:r>
          </w:p>
        </w:tc>
        <w:tc>
          <w:tcPr>
            <w:tcW w:w="1440" w:type="dxa"/>
            <w:tcBorders>
              <w:top w:val="nil"/>
              <w:left w:val="nil"/>
              <w:bottom w:val="single" w:sz="4" w:space="0" w:color="auto"/>
              <w:right w:val="single" w:sz="4" w:space="0" w:color="auto"/>
            </w:tcBorders>
            <w:shd w:val="clear" w:color="auto" w:fill="auto"/>
            <w:noWrap/>
            <w:vAlign w:val="bottom"/>
            <w:hideMark/>
          </w:tcPr>
          <w:p w14:paraId="3F4E8D95" w14:textId="1CA75D98"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R$ 246,488</w:t>
            </w:r>
          </w:p>
        </w:tc>
      </w:tr>
      <w:tr w:rsidR="00433D2D" w:rsidRPr="00EB5B2C" w14:paraId="1003F132" w14:textId="77777777" w:rsidTr="00C34919">
        <w:trPr>
          <w:trHeight w:val="315"/>
        </w:trPr>
        <w:tc>
          <w:tcPr>
            <w:tcW w:w="6025" w:type="dxa"/>
            <w:tcBorders>
              <w:top w:val="nil"/>
              <w:left w:val="single" w:sz="4" w:space="0" w:color="auto"/>
              <w:bottom w:val="single" w:sz="4" w:space="0" w:color="auto"/>
              <w:right w:val="single" w:sz="4" w:space="0" w:color="auto"/>
            </w:tcBorders>
            <w:shd w:val="clear" w:color="auto" w:fill="auto"/>
            <w:noWrap/>
            <w:hideMark/>
          </w:tcPr>
          <w:p w14:paraId="25E4A3C1" w14:textId="0E4F35B4"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rPr>
            </w:pPr>
            <w:proofErr w:type="spellStart"/>
            <w:r w:rsidRPr="00144EF0">
              <w:t>Educação</w:t>
            </w:r>
            <w:proofErr w:type="spellEnd"/>
            <w:r w:rsidRPr="00144EF0">
              <w:t xml:space="preserve"> e </w:t>
            </w:r>
            <w:proofErr w:type="spellStart"/>
            <w:r w:rsidRPr="00144EF0">
              <w:t>saúde</w:t>
            </w:r>
            <w:proofErr w:type="spellEnd"/>
            <w:r w:rsidRPr="00144EF0">
              <w:t xml:space="preserve"> </w:t>
            </w:r>
            <w:proofErr w:type="spellStart"/>
            <w:r w:rsidRPr="00144EF0">
              <w:t>privada</w:t>
            </w:r>
            <w:proofErr w:type="spellEnd"/>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4F6AF310" w14:textId="3125E813"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R$ 208,012</w:t>
            </w:r>
          </w:p>
        </w:tc>
        <w:tc>
          <w:tcPr>
            <w:tcW w:w="1440" w:type="dxa"/>
            <w:tcBorders>
              <w:top w:val="nil"/>
              <w:left w:val="nil"/>
              <w:bottom w:val="single" w:sz="4" w:space="0" w:color="auto"/>
              <w:right w:val="single" w:sz="4" w:space="0" w:color="auto"/>
            </w:tcBorders>
            <w:shd w:val="clear" w:color="auto" w:fill="auto"/>
            <w:noWrap/>
            <w:vAlign w:val="bottom"/>
            <w:hideMark/>
          </w:tcPr>
          <w:p w14:paraId="54FB7F62" w14:textId="6BD3450B"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R$ 373,444</w:t>
            </w:r>
          </w:p>
        </w:tc>
      </w:tr>
      <w:tr w:rsidR="00433D2D" w:rsidRPr="00EB5B2C" w14:paraId="2277BE8A" w14:textId="77777777" w:rsidTr="00C34919">
        <w:trPr>
          <w:trHeight w:val="315"/>
        </w:trPr>
        <w:tc>
          <w:tcPr>
            <w:tcW w:w="6025" w:type="dxa"/>
            <w:tcBorders>
              <w:top w:val="nil"/>
              <w:left w:val="single" w:sz="4" w:space="0" w:color="auto"/>
              <w:bottom w:val="single" w:sz="4" w:space="0" w:color="auto"/>
              <w:right w:val="single" w:sz="4" w:space="0" w:color="auto"/>
            </w:tcBorders>
            <w:shd w:val="clear" w:color="auto" w:fill="auto"/>
            <w:noWrap/>
            <w:hideMark/>
          </w:tcPr>
          <w:p w14:paraId="0248D340" w14:textId="20624D70" w:rsidR="00433D2D" w:rsidRPr="00433D2D"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lang w:val="pt-BR"/>
              </w:rPr>
            </w:pPr>
            <w:r w:rsidRPr="00433D2D">
              <w:rPr>
                <w:lang w:val="pt-BR"/>
              </w:rPr>
              <w:t>Artes, cultura, esporte e recreação, outras atividades de serviço</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3EDCE7B0" w14:textId="3702D220"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R$ 164,406</w:t>
            </w:r>
          </w:p>
        </w:tc>
        <w:tc>
          <w:tcPr>
            <w:tcW w:w="1440" w:type="dxa"/>
            <w:tcBorders>
              <w:top w:val="nil"/>
              <w:left w:val="nil"/>
              <w:bottom w:val="single" w:sz="4" w:space="0" w:color="auto"/>
              <w:right w:val="single" w:sz="4" w:space="0" w:color="auto"/>
            </w:tcBorders>
            <w:shd w:val="clear" w:color="auto" w:fill="auto"/>
            <w:noWrap/>
            <w:vAlign w:val="bottom"/>
            <w:hideMark/>
          </w:tcPr>
          <w:p w14:paraId="3BB10F93" w14:textId="00247DFD"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R$ 262,326</w:t>
            </w:r>
          </w:p>
        </w:tc>
      </w:tr>
      <w:tr w:rsidR="00433D2D" w:rsidRPr="00EB5B2C" w14:paraId="0DACFB3D" w14:textId="77777777" w:rsidTr="00C34919">
        <w:trPr>
          <w:trHeight w:val="315"/>
        </w:trPr>
        <w:tc>
          <w:tcPr>
            <w:tcW w:w="6025" w:type="dxa"/>
            <w:tcBorders>
              <w:top w:val="nil"/>
              <w:left w:val="single" w:sz="4" w:space="0" w:color="auto"/>
              <w:bottom w:val="single" w:sz="4" w:space="0" w:color="auto"/>
              <w:right w:val="single" w:sz="4" w:space="0" w:color="auto"/>
            </w:tcBorders>
            <w:shd w:val="clear" w:color="auto" w:fill="auto"/>
            <w:noWrap/>
            <w:hideMark/>
          </w:tcPr>
          <w:p w14:paraId="66D57EFC" w14:textId="4D12660F"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libri" w:eastAsia="Times New Roman" w:hAnsi="Calibri" w:cs="Calibri"/>
                <w:color w:val="000000"/>
                <w:szCs w:val="22"/>
                <w:bdr w:val="none" w:sz="0" w:space="0" w:color="auto"/>
              </w:rPr>
            </w:pPr>
            <w:proofErr w:type="spellStart"/>
            <w:r w:rsidRPr="00144EF0">
              <w:t>Serviços</w:t>
            </w:r>
            <w:proofErr w:type="spellEnd"/>
            <w:r w:rsidRPr="00144EF0">
              <w:t xml:space="preserve"> </w:t>
            </w:r>
            <w:proofErr w:type="spellStart"/>
            <w:r w:rsidRPr="00144EF0">
              <w:t>domésticos</w:t>
            </w:r>
            <w:proofErr w:type="spellEnd"/>
            <w:r w:rsidRPr="00144EF0">
              <w:t xml:space="preserve">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277574FF" w14:textId="4F7F8F59"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R$ 73,383</w:t>
            </w:r>
          </w:p>
        </w:tc>
        <w:tc>
          <w:tcPr>
            <w:tcW w:w="1440" w:type="dxa"/>
            <w:tcBorders>
              <w:top w:val="nil"/>
              <w:left w:val="nil"/>
              <w:bottom w:val="single" w:sz="4" w:space="0" w:color="auto"/>
              <w:right w:val="single" w:sz="4" w:space="0" w:color="auto"/>
            </w:tcBorders>
            <w:shd w:val="clear" w:color="auto" w:fill="auto"/>
            <w:noWrap/>
            <w:vAlign w:val="bottom"/>
            <w:hideMark/>
          </w:tcPr>
          <w:p w14:paraId="6016203E" w14:textId="22CC99FD" w:rsidR="00433D2D" w:rsidRPr="00EB5B2C" w:rsidRDefault="00433D2D" w:rsidP="00433D2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color w:val="000000"/>
                <w:szCs w:val="22"/>
                <w:bdr w:val="none" w:sz="0" w:space="0" w:color="auto"/>
              </w:rPr>
            </w:pPr>
            <w:r>
              <w:rPr>
                <w:rFonts w:ascii="Calibri" w:hAnsi="Calibri" w:cs="Calibri"/>
                <w:color w:val="000000"/>
                <w:szCs w:val="22"/>
              </w:rPr>
              <w:t>R$ 139,239</w:t>
            </w:r>
          </w:p>
        </w:tc>
      </w:tr>
    </w:tbl>
    <w:p w14:paraId="25B77331" w14:textId="77777777" w:rsidR="00A6254B" w:rsidRDefault="00A6254B" w:rsidP="007D7AAD">
      <w:pPr>
        <w:spacing w:before="0"/>
        <w:sectPr w:rsidR="00A6254B" w:rsidSect="00C00C1D">
          <w:headerReference w:type="default" r:id="rId14"/>
          <w:footerReference w:type="default" r:id="rId15"/>
          <w:pgSz w:w="12240" w:h="15840"/>
          <w:pgMar w:top="1135" w:right="1440" w:bottom="1440" w:left="1440" w:header="720" w:footer="720" w:gutter="0"/>
          <w:cols w:space="720"/>
          <w:docGrid w:linePitch="360"/>
        </w:sectPr>
      </w:pPr>
    </w:p>
    <w:p w14:paraId="073B9A9D" w14:textId="7B621A92" w:rsidR="0046445B" w:rsidRPr="00480269" w:rsidRDefault="00480269" w:rsidP="00480269">
      <w:pPr>
        <w:pStyle w:val="TableandFigureTitles"/>
        <w:spacing w:before="0"/>
        <w:rPr>
          <w:lang w:val="pt-BR"/>
        </w:rPr>
      </w:pPr>
      <w:r>
        <w:rPr>
          <w:noProof/>
        </w:rPr>
        <mc:AlternateContent>
          <mc:Choice Requires="cx1">
            <w:drawing>
              <wp:inline distT="0" distB="0" distL="0" distR="0" wp14:anchorId="4260CB5A" wp14:editId="04626A87">
                <wp:extent cx="7942521" cy="2955851"/>
                <wp:effectExtent l="0" t="0" r="1905" b="16510"/>
                <wp:docPr id="4" name="Chart 4">
                  <a:extLst xmlns:a="http://schemas.openxmlformats.org/drawingml/2006/main">
                    <a:ext uri="{FF2B5EF4-FFF2-40B4-BE49-F238E27FC236}">
                      <a16:creationId xmlns:a16="http://schemas.microsoft.com/office/drawing/2014/main" id="{DDD46262-6472-4C4F-989E-4F2E2A7829EE}"/>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16"/>
                  </a:graphicData>
                </a:graphic>
              </wp:inline>
            </w:drawing>
          </mc:Choice>
          <mc:Fallback>
            <w:drawing>
              <wp:inline distT="0" distB="0" distL="0" distR="0" wp14:anchorId="4260CB5A" wp14:editId="04626A87">
                <wp:extent cx="7942521" cy="2955851"/>
                <wp:effectExtent l="0" t="0" r="1905" b="16510"/>
                <wp:docPr id="4" name="Chart 4">
                  <a:extLst xmlns:a="http://schemas.openxmlformats.org/drawingml/2006/main">
                    <a:ext uri="{FF2B5EF4-FFF2-40B4-BE49-F238E27FC236}">
                      <a16:creationId xmlns:a16="http://schemas.microsoft.com/office/drawing/2014/main" id="{DDD46262-6472-4C4F-989E-4F2E2A7829EE}"/>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4" name="Chart 4">
                          <a:extLst>
                            <a:ext uri="{FF2B5EF4-FFF2-40B4-BE49-F238E27FC236}">
                              <a16:creationId xmlns:a16="http://schemas.microsoft.com/office/drawing/2014/main" id="{DDD46262-6472-4C4F-989E-4F2E2A7829EE}"/>
                            </a:ext>
                          </a:extLst>
                        </pic:cNvPr>
                        <pic:cNvPicPr>
                          <a:picLocks noGrp="1" noRot="1" noChangeAspect="1" noMove="1" noResize="1" noEditPoints="1" noAdjustHandles="1" noChangeArrowheads="1" noChangeShapeType="1"/>
                        </pic:cNvPicPr>
                      </pic:nvPicPr>
                      <pic:blipFill>
                        <a:blip r:embed="rId17"/>
                        <a:stretch>
                          <a:fillRect/>
                        </a:stretch>
                      </pic:blipFill>
                      <pic:spPr>
                        <a:xfrm>
                          <a:off x="0" y="0"/>
                          <a:ext cx="7941945" cy="2955290"/>
                        </a:xfrm>
                        <a:prstGeom prst="rect">
                          <a:avLst/>
                        </a:prstGeom>
                      </pic:spPr>
                    </pic:pic>
                  </a:graphicData>
                </a:graphic>
              </wp:inline>
            </w:drawing>
          </mc:Fallback>
        </mc:AlternateContent>
      </w:r>
      <w:r w:rsidRPr="00480269">
        <w:rPr>
          <w:lang w:val="pt-BR"/>
        </w:rPr>
        <w:t xml:space="preserve"> </w:t>
      </w:r>
      <w:r w:rsidRPr="00480269">
        <w:rPr>
          <w:rStyle w:val="tlid-translation"/>
          <w:lang w:val="pt-BR"/>
        </w:rPr>
        <w:t>Figura 4a. Valor adicionado à economia em 2009 por atividade econômica (milhões de reais 2019)</w:t>
      </w:r>
      <w:r w:rsidRPr="005A09E9">
        <w:rPr>
          <w:noProof/>
          <w:lang w:val="pt-BR"/>
        </w:rPr>
        <mc:AlternateContent>
          <mc:Choice Requires="cx1">
            <w:drawing>
              <wp:inline distT="0" distB="0" distL="0" distR="0" wp14:anchorId="6FB59FF1" wp14:editId="67629D2C">
                <wp:extent cx="7910623" cy="2817628"/>
                <wp:effectExtent l="0" t="0" r="14605" b="1905"/>
                <wp:docPr id="5" name="Chart 5">
                  <a:extLst xmlns:a="http://schemas.openxmlformats.org/drawingml/2006/main">
                    <a:ext uri="{FF2B5EF4-FFF2-40B4-BE49-F238E27FC236}">
                      <a16:creationId xmlns:a16="http://schemas.microsoft.com/office/drawing/2014/main" id="{5C44C4FF-E2DD-49FC-BA7F-77BF20FBA63E}"/>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18"/>
                  </a:graphicData>
                </a:graphic>
              </wp:inline>
            </w:drawing>
          </mc:Choice>
          <mc:Fallback>
            <w:drawing>
              <wp:inline distT="0" distB="0" distL="0" distR="0" wp14:anchorId="6FB59FF1" wp14:editId="67629D2C">
                <wp:extent cx="7910623" cy="2817628"/>
                <wp:effectExtent l="0" t="0" r="14605" b="1905"/>
                <wp:docPr id="5" name="Chart 5">
                  <a:extLst xmlns:a="http://schemas.openxmlformats.org/drawingml/2006/main">
                    <a:ext uri="{FF2B5EF4-FFF2-40B4-BE49-F238E27FC236}">
                      <a16:creationId xmlns:a16="http://schemas.microsoft.com/office/drawing/2014/main" id="{5C44C4FF-E2DD-49FC-BA7F-77BF20FBA63E}"/>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5" name="Chart 5">
                          <a:extLst>
                            <a:ext uri="{FF2B5EF4-FFF2-40B4-BE49-F238E27FC236}">
                              <a16:creationId xmlns:a16="http://schemas.microsoft.com/office/drawing/2014/main" id="{5C44C4FF-E2DD-49FC-BA7F-77BF20FBA63E}"/>
                            </a:ext>
                          </a:extLst>
                        </pic:cNvPr>
                        <pic:cNvPicPr>
                          <a:picLocks noGrp="1" noRot="1" noChangeAspect="1" noMove="1" noResize="1" noEditPoints="1" noAdjustHandles="1" noChangeArrowheads="1" noChangeShapeType="1"/>
                        </pic:cNvPicPr>
                      </pic:nvPicPr>
                      <pic:blipFill>
                        <a:blip r:embed="rId19"/>
                        <a:stretch>
                          <a:fillRect/>
                        </a:stretch>
                      </pic:blipFill>
                      <pic:spPr>
                        <a:xfrm>
                          <a:off x="0" y="0"/>
                          <a:ext cx="7910195" cy="2817495"/>
                        </a:xfrm>
                        <a:prstGeom prst="rect">
                          <a:avLst/>
                        </a:prstGeom>
                      </pic:spPr>
                    </pic:pic>
                  </a:graphicData>
                </a:graphic>
              </wp:inline>
            </w:drawing>
          </mc:Fallback>
        </mc:AlternateContent>
      </w:r>
    </w:p>
    <w:p w14:paraId="77C3555F" w14:textId="747745A8" w:rsidR="00EB5B2C" w:rsidRPr="00480269" w:rsidRDefault="00480269" w:rsidP="00480269">
      <w:pPr>
        <w:pStyle w:val="TableandFigureTitles"/>
        <w:spacing w:before="0"/>
        <w:rPr>
          <w:rStyle w:val="tlid-translation"/>
          <w:lang w:val="pt-BR"/>
        </w:rPr>
      </w:pPr>
      <w:r w:rsidRPr="00480269">
        <w:rPr>
          <w:rStyle w:val="tlid-translation"/>
          <w:lang w:val="pt-BR"/>
        </w:rPr>
        <w:t>Figura 4b. 2015 Valor Agregado à Economia por Atividade Econômica (milhões de reais 2019)</w:t>
      </w:r>
    </w:p>
    <w:sectPr w:rsidR="00EB5B2C" w:rsidRPr="00480269" w:rsidSect="00407805">
      <w:pgSz w:w="15840" w:h="12240" w:orient="landscape"/>
      <w:pgMar w:top="108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641CA" w14:textId="77777777" w:rsidR="0048259E" w:rsidRDefault="0048259E" w:rsidP="00574C99">
      <w:pPr>
        <w:spacing w:before="0" w:after="0"/>
      </w:pPr>
      <w:r>
        <w:separator/>
      </w:r>
    </w:p>
  </w:endnote>
  <w:endnote w:type="continuationSeparator" w:id="0">
    <w:p w14:paraId="5757BB35" w14:textId="77777777" w:rsidR="0048259E" w:rsidRDefault="0048259E" w:rsidP="00574C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521473"/>
      <w:docPartObj>
        <w:docPartGallery w:val="Page Numbers (Bottom of Page)"/>
        <w:docPartUnique/>
      </w:docPartObj>
    </w:sdtPr>
    <w:sdtEndPr>
      <w:rPr>
        <w:noProof/>
      </w:rPr>
    </w:sdtEndPr>
    <w:sdtContent>
      <w:p w14:paraId="15DAB015" w14:textId="378FF844" w:rsidR="00F64A35" w:rsidRDefault="00F64A35">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5992D727" w14:textId="77777777" w:rsidR="00F64A35" w:rsidRDefault="00F64A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28B30" w14:textId="77777777" w:rsidR="0048259E" w:rsidRDefault="0048259E" w:rsidP="00574C99">
      <w:pPr>
        <w:spacing w:before="0" w:after="0"/>
      </w:pPr>
      <w:r>
        <w:separator/>
      </w:r>
    </w:p>
  </w:footnote>
  <w:footnote w:type="continuationSeparator" w:id="0">
    <w:p w14:paraId="7C24DAD3" w14:textId="77777777" w:rsidR="0048259E" w:rsidRDefault="0048259E" w:rsidP="00574C99">
      <w:pPr>
        <w:spacing w:before="0" w:after="0"/>
      </w:pPr>
      <w:r>
        <w:continuationSeparator/>
      </w:r>
    </w:p>
  </w:footnote>
  <w:footnote w:id="1">
    <w:p w14:paraId="11F6DA25" w14:textId="3B9DA8BF" w:rsidR="00F64A35" w:rsidRPr="00FA4843" w:rsidRDefault="00F64A35" w:rsidP="00A37CC6">
      <w:pPr>
        <w:pStyle w:val="FootnoteText"/>
        <w:rPr>
          <w:sz w:val="18"/>
          <w:szCs w:val="18"/>
          <w:lang w:val="pt-BR"/>
        </w:rPr>
      </w:pPr>
      <w:r w:rsidRPr="00A37CC6">
        <w:rPr>
          <w:rStyle w:val="FootnoteReference"/>
          <w:sz w:val="18"/>
          <w:szCs w:val="18"/>
        </w:rPr>
        <w:footnoteRef/>
      </w:r>
      <w:r w:rsidRPr="002D2C0C">
        <w:rPr>
          <w:sz w:val="18"/>
          <w:szCs w:val="18"/>
          <w:lang w:val="pt-BR"/>
        </w:rPr>
        <w:t xml:space="preserve"> IBGE. Instituto Brasileiro de Geografia e Estatística – IBGE. </w:t>
      </w:r>
      <w:r w:rsidRPr="00FA4843">
        <w:rPr>
          <w:sz w:val="18"/>
          <w:szCs w:val="18"/>
          <w:lang w:val="pt-BR"/>
        </w:rPr>
        <w:t>Fundação S</w:t>
      </w:r>
      <w:r>
        <w:rPr>
          <w:sz w:val="18"/>
          <w:szCs w:val="18"/>
          <w:lang w:val="pt-BR"/>
        </w:rPr>
        <w:t>EADE</w:t>
      </w:r>
      <w:r w:rsidRPr="00FA4843">
        <w:rPr>
          <w:sz w:val="18"/>
          <w:szCs w:val="18"/>
          <w:lang w:val="pt-BR"/>
        </w:rPr>
        <w:t xml:space="preserve">; </w:t>
      </w:r>
      <w:hyperlink r:id="rId1" w:anchor="/tabelas" w:history="1">
        <w:r w:rsidRPr="00FA4843">
          <w:rPr>
            <w:rStyle w:val="Hyperlink"/>
            <w:sz w:val="18"/>
            <w:szCs w:val="18"/>
            <w:lang w:val="pt-BR"/>
          </w:rPr>
          <w:t>http://www.imp.seade.gov.br/frontend/#/tabelas</w:t>
        </w:r>
      </w:hyperlink>
      <w:r w:rsidRPr="00FA4843">
        <w:rPr>
          <w:sz w:val="18"/>
          <w:szCs w:val="18"/>
          <w:lang w:val="pt-BR"/>
        </w:rPr>
        <w:t xml:space="preserve">. </w:t>
      </w:r>
    </w:p>
  </w:footnote>
  <w:footnote w:id="2">
    <w:p w14:paraId="465B5A5A" w14:textId="6CE449E9" w:rsidR="00F64A35" w:rsidRPr="002D2C0C" w:rsidRDefault="00F64A35">
      <w:pPr>
        <w:pStyle w:val="FootnoteText"/>
        <w:rPr>
          <w:sz w:val="18"/>
          <w:szCs w:val="18"/>
          <w:lang w:val="pt-BR"/>
        </w:rPr>
      </w:pPr>
      <w:r w:rsidRPr="009E5151">
        <w:rPr>
          <w:rStyle w:val="FootnoteReference"/>
          <w:sz w:val="18"/>
          <w:szCs w:val="18"/>
        </w:rPr>
        <w:footnoteRef/>
      </w:r>
      <w:r w:rsidRPr="002D2C0C">
        <w:rPr>
          <w:sz w:val="18"/>
          <w:szCs w:val="18"/>
          <w:lang w:val="pt-BR"/>
        </w:rPr>
        <w:t xml:space="preserve"> </w:t>
      </w:r>
      <w:r w:rsidRPr="002D2C0C">
        <w:rPr>
          <w:sz w:val="18"/>
          <w:szCs w:val="18"/>
          <w:lang w:val="pt-BR"/>
        </w:rPr>
        <w:t xml:space="preserve">SEADE. Portal de Estatisticas do estado de Sao Paulo; </w:t>
      </w:r>
      <w:hyperlink r:id="rId2" w:history="1">
        <w:r w:rsidRPr="002D2C0C">
          <w:rPr>
            <w:rStyle w:val="Hyperlink"/>
            <w:sz w:val="18"/>
            <w:szCs w:val="18"/>
            <w:lang w:val="pt-BR"/>
          </w:rPr>
          <w:t>https://produtos.seade.gov.br/produtos/projpop/index.php</w:t>
        </w:r>
      </w:hyperlink>
      <w:r w:rsidRPr="002D2C0C">
        <w:rPr>
          <w:sz w:val="18"/>
          <w:szCs w:val="18"/>
          <w:lang w:val="pt-B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687C5" w14:textId="146E8B0D" w:rsidR="00F64A35" w:rsidRPr="000D5912" w:rsidRDefault="000D5912">
    <w:pPr>
      <w:pStyle w:val="Header"/>
      <w:rPr>
        <w:lang w:val="pt-BR"/>
      </w:rPr>
    </w:pPr>
    <w:r>
      <w:rPr>
        <w:rStyle w:val="jlqj4b"/>
        <w:lang w:val="pt-PT"/>
      </w:rPr>
      <w:t xml:space="preserve">Estado de </w:t>
    </w:r>
    <w:r>
      <w:rPr>
        <w:rStyle w:val="jlqj4b"/>
        <w:lang w:val="pt-PT"/>
      </w:rPr>
      <w:t>S</w:t>
    </w:r>
    <w:r>
      <w:rPr>
        <w:rStyle w:val="jlqj4b"/>
        <w:lang w:val="pt-PT"/>
      </w:rPr>
      <w:t xml:space="preserve">ão </w:t>
    </w:r>
    <w:r>
      <w:rPr>
        <w:rStyle w:val="jlqj4b"/>
        <w:lang w:val="pt-PT"/>
      </w:rPr>
      <w:t>P</w:t>
    </w:r>
    <w:r>
      <w:rPr>
        <w:rStyle w:val="jlqj4b"/>
        <w:lang w:val="pt-PT"/>
      </w:rPr>
      <w:t>aulo</w:t>
    </w:r>
    <w:r w:rsidR="00F64A35" w:rsidRPr="00F07905">
      <w:ptab w:relativeTo="margin" w:alignment="center" w:leader="none"/>
    </w:r>
    <w:r w:rsidR="00F64A35" w:rsidRPr="00F07905">
      <w:ptab w:relativeTo="margin" w:alignment="right" w:leader="none"/>
    </w:r>
    <w:r w:rsidRPr="000D5912">
      <w:rPr>
        <w:rStyle w:val="tlid-translation"/>
        <w:lang w:val="pt-PT"/>
      </w:rPr>
      <w:t xml:space="preserve"> </w:t>
    </w:r>
    <w:r>
      <w:rPr>
        <w:rStyle w:val="jlqj4b"/>
        <w:lang w:val="pt-PT"/>
      </w:rPr>
      <w:t>Linha de base socioeconômica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C99"/>
    <w:rsid w:val="0002038A"/>
    <w:rsid w:val="00030683"/>
    <w:rsid w:val="000455E2"/>
    <w:rsid w:val="000677AA"/>
    <w:rsid w:val="000A298D"/>
    <w:rsid w:val="000D5912"/>
    <w:rsid w:val="000D59D9"/>
    <w:rsid w:val="000E7C78"/>
    <w:rsid w:val="000F11F1"/>
    <w:rsid w:val="00111B28"/>
    <w:rsid w:val="00112A55"/>
    <w:rsid w:val="001156B0"/>
    <w:rsid w:val="00155625"/>
    <w:rsid w:val="00155778"/>
    <w:rsid w:val="00162D28"/>
    <w:rsid w:val="00174756"/>
    <w:rsid w:val="001753CA"/>
    <w:rsid w:val="0018119D"/>
    <w:rsid w:val="001975EA"/>
    <w:rsid w:val="001D6316"/>
    <w:rsid w:val="001F4F03"/>
    <w:rsid w:val="002626E0"/>
    <w:rsid w:val="00281BA8"/>
    <w:rsid w:val="002A6577"/>
    <w:rsid w:val="002C1E91"/>
    <w:rsid w:val="002D2C0C"/>
    <w:rsid w:val="002D4658"/>
    <w:rsid w:val="002F5984"/>
    <w:rsid w:val="00304DE0"/>
    <w:rsid w:val="00335469"/>
    <w:rsid w:val="00347763"/>
    <w:rsid w:val="003845D3"/>
    <w:rsid w:val="003C2F04"/>
    <w:rsid w:val="003E0DAA"/>
    <w:rsid w:val="003E5410"/>
    <w:rsid w:val="00407805"/>
    <w:rsid w:val="0041544C"/>
    <w:rsid w:val="00417FB1"/>
    <w:rsid w:val="00422A9A"/>
    <w:rsid w:val="00423019"/>
    <w:rsid w:val="00433D2D"/>
    <w:rsid w:val="00436558"/>
    <w:rsid w:val="004453DB"/>
    <w:rsid w:val="0046445B"/>
    <w:rsid w:val="00480269"/>
    <w:rsid w:val="0048259E"/>
    <w:rsid w:val="00486FC9"/>
    <w:rsid w:val="004A0E04"/>
    <w:rsid w:val="004C226B"/>
    <w:rsid w:val="005351A3"/>
    <w:rsid w:val="00574C99"/>
    <w:rsid w:val="00594659"/>
    <w:rsid w:val="005A09E9"/>
    <w:rsid w:val="005A39F2"/>
    <w:rsid w:val="005A467C"/>
    <w:rsid w:val="005D298B"/>
    <w:rsid w:val="00600137"/>
    <w:rsid w:val="00625289"/>
    <w:rsid w:val="00671738"/>
    <w:rsid w:val="00673623"/>
    <w:rsid w:val="00693619"/>
    <w:rsid w:val="006F00DC"/>
    <w:rsid w:val="007379C8"/>
    <w:rsid w:val="0074514B"/>
    <w:rsid w:val="007A38D7"/>
    <w:rsid w:val="007C75AD"/>
    <w:rsid w:val="007D5E4C"/>
    <w:rsid w:val="007D7AAD"/>
    <w:rsid w:val="008126C1"/>
    <w:rsid w:val="00845A5F"/>
    <w:rsid w:val="00846B93"/>
    <w:rsid w:val="008475F2"/>
    <w:rsid w:val="00850B5A"/>
    <w:rsid w:val="00862A65"/>
    <w:rsid w:val="008736A7"/>
    <w:rsid w:val="0088264A"/>
    <w:rsid w:val="008935DF"/>
    <w:rsid w:val="008C173F"/>
    <w:rsid w:val="008C41CF"/>
    <w:rsid w:val="00926C43"/>
    <w:rsid w:val="00943740"/>
    <w:rsid w:val="009C3265"/>
    <w:rsid w:val="009C43D8"/>
    <w:rsid w:val="009C7B8D"/>
    <w:rsid w:val="009E5151"/>
    <w:rsid w:val="00A312D8"/>
    <w:rsid w:val="00A37CC6"/>
    <w:rsid w:val="00A60AEA"/>
    <w:rsid w:val="00A6254B"/>
    <w:rsid w:val="00AA1EB5"/>
    <w:rsid w:val="00AA7B72"/>
    <w:rsid w:val="00AF36B2"/>
    <w:rsid w:val="00B00E49"/>
    <w:rsid w:val="00B26DCC"/>
    <w:rsid w:val="00B55235"/>
    <w:rsid w:val="00B63718"/>
    <w:rsid w:val="00B777A0"/>
    <w:rsid w:val="00B82C4F"/>
    <w:rsid w:val="00B9168A"/>
    <w:rsid w:val="00BA7B42"/>
    <w:rsid w:val="00BA7CB9"/>
    <w:rsid w:val="00BD5412"/>
    <w:rsid w:val="00BE4EEC"/>
    <w:rsid w:val="00BF17DA"/>
    <w:rsid w:val="00C00C1D"/>
    <w:rsid w:val="00C05084"/>
    <w:rsid w:val="00C068A5"/>
    <w:rsid w:val="00C577E9"/>
    <w:rsid w:val="00C60054"/>
    <w:rsid w:val="00C70D17"/>
    <w:rsid w:val="00C733DC"/>
    <w:rsid w:val="00C85543"/>
    <w:rsid w:val="00C934F6"/>
    <w:rsid w:val="00CB7923"/>
    <w:rsid w:val="00CC233D"/>
    <w:rsid w:val="00D039EF"/>
    <w:rsid w:val="00D20DAC"/>
    <w:rsid w:val="00D235F3"/>
    <w:rsid w:val="00D44985"/>
    <w:rsid w:val="00D52B66"/>
    <w:rsid w:val="00D62604"/>
    <w:rsid w:val="00D84E64"/>
    <w:rsid w:val="00D87D7E"/>
    <w:rsid w:val="00DA07A8"/>
    <w:rsid w:val="00DB2942"/>
    <w:rsid w:val="00DD7FD5"/>
    <w:rsid w:val="00E00787"/>
    <w:rsid w:val="00E023BC"/>
    <w:rsid w:val="00E92EFB"/>
    <w:rsid w:val="00EA06CA"/>
    <w:rsid w:val="00EB5B2C"/>
    <w:rsid w:val="00EC3901"/>
    <w:rsid w:val="00EC49D2"/>
    <w:rsid w:val="00EC55EA"/>
    <w:rsid w:val="00EE3CCD"/>
    <w:rsid w:val="00F04964"/>
    <w:rsid w:val="00F07905"/>
    <w:rsid w:val="00F12125"/>
    <w:rsid w:val="00F3176F"/>
    <w:rsid w:val="00F351AD"/>
    <w:rsid w:val="00F549EF"/>
    <w:rsid w:val="00F5655E"/>
    <w:rsid w:val="00F64A35"/>
    <w:rsid w:val="00F751AA"/>
    <w:rsid w:val="00F8519B"/>
    <w:rsid w:val="00F860BE"/>
    <w:rsid w:val="00F92BB8"/>
    <w:rsid w:val="00FA4843"/>
    <w:rsid w:val="00FB2B36"/>
    <w:rsid w:val="00FB5B11"/>
    <w:rsid w:val="00FD6CA0"/>
    <w:rsid w:val="00FE61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71D7B"/>
  <w15:docId w15:val="{D77D070A-A46D-485D-AF15-619D5C751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4658"/>
    <w:pPr>
      <w:pBdr>
        <w:top w:val="nil"/>
        <w:left w:val="nil"/>
        <w:bottom w:val="nil"/>
        <w:right w:val="nil"/>
        <w:between w:val="nil"/>
        <w:bar w:val="nil"/>
      </w:pBdr>
      <w:spacing w:before="120" w:after="120" w:line="240" w:lineRule="auto"/>
    </w:pPr>
    <w:rPr>
      <w:rFonts w:ascii="Times New Roman" w:eastAsia="Arial Unicode MS" w:hAnsi="Times New Roman" w:cs="Times New Roman"/>
      <w:szCs w:val="24"/>
      <w:bdr w:val="nil"/>
    </w:rPr>
  </w:style>
  <w:style w:type="paragraph" w:styleId="Heading1">
    <w:name w:val="heading 1"/>
    <w:basedOn w:val="Normal"/>
    <w:next w:val="Normal"/>
    <w:link w:val="Heading1Char"/>
    <w:uiPriority w:val="9"/>
    <w:qFormat/>
    <w:rsid w:val="00574C9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74C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74C99"/>
    <w:pPr>
      <w:keepNext/>
      <w:keepLines/>
      <w:spacing w:before="40" w:after="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574C99"/>
  </w:style>
  <w:style w:type="character" w:customStyle="1" w:styleId="Heading1Char">
    <w:name w:val="Heading 1 Char"/>
    <w:basedOn w:val="DefaultParagraphFont"/>
    <w:link w:val="Heading1"/>
    <w:uiPriority w:val="9"/>
    <w:rsid w:val="00574C99"/>
    <w:rPr>
      <w:rFonts w:asciiTheme="majorHAnsi" w:eastAsiaTheme="majorEastAsia" w:hAnsiTheme="majorHAnsi" w:cstheme="majorBidi"/>
      <w:color w:val="2F5496" w:themeColor="accent1" w:themeShade="BF"/>
      <w:sz w:val="32"/>
      <w:szCs w:val="32"/>
      <w:bdr w:val="nil"/>
    </w:rPr>
  </w:style>
  <w:style w:type="character" w:customStyle="1" w:styleId="Heading2Char">
    <w:name w:val="Heading 2 Char"/>
    <w:basedOn w:val="DefaultParagraphFont"/>
    <w:link w:val="Heading2"/>
    <w:uiPriority w:val="9"/>
    <w:rsid w:val="00574C99"/>
    <w:rPr>
      <w:rFonts w:asciiTheme="majorHAnsi" w:eastAsiaTheme="majorEastAsia" w:hAnsiTheme="majorHAnsi" w:cstheme="majorBidi"/>
      <w:color w:val="2F5496" w:themeColor="accent1" w:themeShade="BF"/>
      <w:sz w:val="26"/>
      <w:szCs w:val="26"/>
      <w:bdr w:val="nil"/>
    </w:rPr>
  </w:style>
  <w:style w:type="paragraph" w:styleId="Title">
    <w:name w:val="Title"/>
    <w:basedOn w:val="Normal"/>
    <w:next w:val="Normal"/>
    <w:link w:val="TitleChar"/>
    <w:uiPriority w:val="10"/>
    <w:qFormat/>
    <w:rsid w:val="00574C99"/>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4C99"/>
    <w:rPr>
      <w:rFonts w:asciiTheme="majorHAnsi" w:eastAsiaTheme="majorEastAsia" w:hAnsiTheme="majorHAnsi" w:cstheme="majorBidi"/>
      <w:spacing w:val="-10"/>
      <w:kern w:val="28"/>
      <w:sz w:val="56"/>
      <w:szCs w:val="56"/>
      <w:bdr w:val="nil"/>
    </w:rPr>
  </w:style>
  <w:style w:type="paragraph" w:styleId="Subtitle">
    <w:name w:val="Subtitle"/>
    <w:basedOn w:val="Normal"/>
    <w:next w:val="Normal"/>
    <w:link w:val="SubtitleChar"/>
    <w:uiPriority w:val="11"/>
    <w:qFormat/>
    <w:rsid w:val="00574C99"/>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574C99"/>
    <w:rPr>
      <w:rFonts w:eastAsiaTheme="minorEastAsia"/>
      <w:color w:val="5A5A5A" w:themeColor="text1" w:themeTint="A5"/>
      <w:spacing w:val="15"/>
      <w:bdr w:val="nil"/>
    </w:rPr>
  </w:style>
  <w:style w:type="paragraph" w:styleId="Header">
    <w:name w:val="header"/>
    <w:basedOn w:val="Normal"/>
    <w:link w:val="HeaderChar"/>
    <w:uiPriority w:val="99"/>
    <w:unhideWhenUsed/>
    <w:rsid w:val="00574C99"/>
    <w:pPr>
      <w:tabs>
        <w:tab w:val="center" w:pos="4680"/>
        <w:tab w:val="right" w:pos="9360"/>
      </w:tabs>
      <w:spacing w:before="0" w:after="0"/>
    </w:pPr>
  </w:style>
  <w:style w:type="character" w:customStyle="1" w:styleId="HeaderChar">
    <w:name w:val="Header Char"/>
    <w:basedOn w:val="DefaultParagraphFont"/>
    <w:link w:val="Header"/>
    <w:uiPriority w:val="99"/>
    <w:rsid w:val="00574C99"/>
    <w:rPr>
      <w:rFonts w:ascii="Times New Roman" w:eastAsia="Arial Unicode MS" w:hAnsi="Times New Roman" w:cs="Times New Roman"/>
      <w:szCs w:val="24"/>
      <w:bdr w:val="nil"/>
    </w:rPr>
  </w:style>
  <w:style w:type="paragraph" w:styleId="Footer">
    <w:name w:val="footer"/>
    <w:basedOn w:val="Normal"/>
    <w:link w:val="FooterChar"/>
    <w:uiPriority w:val="99"/>
    <w:unhideWhenUsed/>
    <w:rsid w:val="00574C99"/>
    <w:pPr>
      <w:tabs>
        <w:tab w:val="center" w:pos="4680"/>
        <w:tab w:val="right" w:pos="9360"/>
      </w:tabs>
      <w:spacing w:before="0" w:after="0"/>
    </w:pPr>
  </w:style>
  <w:style w:type="character" w:customStyle="1" w:styleId="FooterChar">
    <w:name w:val="Footer Char"/>
    <w:basedOn w:val="DefaultParagraphFont"/>
    <w:link w:val="Footer"/>
    <w:uiPriority w:val="99"/>
    <w:rsid w:val="00574C99"/>
    <w:rPr>
      <w:rFonts w:ascii="Times New Roman" w:eastAsia="Arial Unicode MS" w:hAnsi="Times New Roman" w:cs="Times New Roman"/>
      <w:szCs w:val="24"/>
      <w:bdr w:val="nil"/>
    </w:rPr>
  </w:style>
  <w:style w:type="character" w:customStyle="1" w:styleId="Heading3Char">
    <w:name w:val="Heading 3 Char"/>
    <w:basedOn w:val="DefaultParagraphFont"/>
    <w:link w:val="Heading3"/>
    <w:uiPriority w:val="9"/>
    <w:rsid w:val="00574C99"/>
    <w:rPr>
      <w:rFonts w:asciiTheme="majorHAnsi" w:eastAsiaTheme="majorEastAsia" w:hAnsiTheme="majorHAnsi" w:cstheme="majorBidi"/>
      <w:color w:val="1F3763" w:themeColor="accent1" w:themeShade="7F"/>
      <w:sz w:val="24"/>
      <w:szCs w:val="24"/>
      <w:bdr w:val="nil"/>
    </w:rPr>
  </w:style>
  <w:style w:type="paragraph" w:customStyle="1" w:styleId="TableandFigureTitles">
    <w:name w:val="Table and Figure Titles"/>
    <w:basedOn w:val="Normal"/>
    <w:link w:val="TableandFigureTitlesChar"/>
    <w:qFormat/>
    <w:rsid w:val="001D6316"/>
    <w:rPr>
      <w:rFonts w:ascii="Arial" w:hAnsi="Arial"/>
      <w:b/>
      <w:lang w:val="es-ES"/>
    </w:rPr>
  </w:style>
  <w:style w:type="paragraph" w:styleId="FootnoteText">
    <w:name w:val="footnote text"/>
    <w:basedOn w:val="Normal"/>
    <w:link w:val="FootnoteTextChar"/>
    <w:uiPriority w:val="99"/>
    <w:semiHidden/>
    <w:unhideWhenUsed/>
    <w:rsid w:val="001D6316"/>
    <w:pPr>
      <w:spacing w:before="0" w:after="0"/>
    </w:pPr>
    <w:rPr>
      <w:sz w:val="20"/>
      <w:szCs w:val="20"/>
    </w:rPr>
  </w:style>
  <w:style w:type="character" w:customStyle="1" w:styleId="TableandFigureTitlesChar">
    <w:name w:val="Table and Figure Titles Char"/>
    <w:basedOn w:val="DefaultParagraphFont"/>
    <w:link w:val="TableandFigureTitles"/>
    <w:rsid w:val="001D6316"/>
    <w:rPr>
      <w:rFonts w:ascii="Arial" w:eastAsia="Arial Unicode MS" w:hAnsi="Arial" w:cs="Times New Roman"/>
      <w:b/>
      <w:szCs w:val="24"/>
      <w:bdr w:val="nil"/>
      <w:lang w:val="es-ES"/>
    </w:rPr>
  </w:style>
  <w:style w:type="character" w:customStyle="1" w:styleId="FootnoteTextChar">
    <w:name w:val="Footnote Text Char"/>
    <w:basedOn w:val="DefaultParagraphFont"/>
    <w:link w:val="FootnoteText"/>
    <w:uiPriority w:val="99"/>
    <w:semiHidden/>
    <w:rsid w:val="001D6316"/>
    <w:rPr>
      <w:rFonts w:ascii="Times New Roman" w:eastAsia="Arial Unicode MS" w:hAnsi="Times New Roman" w:cs="Times New Roman"/>
      <w:sz w:val="20"/>
      <w:szCs w:val="20"/>
      <w:bdr w:val="nil"/>
    </w:rPr>
  </w:style>
  <w:style w:type="character" w:styleId="FootnoteReference">
    <w:name w:val="footnote reference"/>
    <w:basedOn w:val="DefaultParagraphFont"/>
    <w:uiPriority w:val="99"/>
    <w:semiHidden/>
    <w:unhideWhenUsed/>
    <w:rsid w:val="001D6316"/>
    <w:rPr>
      <w:vertAlign w:val="superscript"/>
    </w:rPr>
  </w:style>
  <w:style w:type="character" w:styleId="Hyperlink">
    <w:name w:val="Hyperlink"/>
    <w:basedOn w:val="DefaultParagraphFont"/>
    <w:uiPriority w:val="99"/>
    <w:unhideWhenUsed/>
    <w:rsid w:val="00112A55"/>
    <w:rPr>
      <w:color w:val="0563C1" w:themeColor="hyperlink"/>
      <w:u w:val="single"/>
    </w:rPr>
  </w:style>
  <w:style w:type="character" w:customStyle="1" w:styleId="UnresolvedMention1">
    <w:name w:val="Unresolved Mention1"/>
    <w:basedOn w:val="DefaultParagraphFont"/>
    <w:uiPriority w:val="99"/>
    <w:semiHidden/>
    <w:unhideWhenUsed/>
    <w:rsid w:val="00112A55"/>
    <w:rPr>
      <w:color w:val="605E5C"/>
      <w:shd w:val="clear" w:color="auto" w:fill="E1DFDD"/>
    </w:rPr>
  </w:style>
  <w:style w:type="paragraph" w:styleId="BalloonText">
    <w:name w:val="Balloon Text"/>
    <w:basedOn w:val="Normal"/>
    <w:link w:val="BalloonTextChar"/>
    <w:uiPriority w:val="99"/>
    <w:semiHidden/>
    <w:unhideWhenUsed/>
    <w:rsid w:val="008736A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36A7"/>
    <w:rPr>
      <w:rFonts w:ascii="Segoe UI" w:eastAsia="Arial Unicode MS" w:hAnsi="Segoe UI" w:cs="Segoe UI"/>
      <w:sz w:val="18"/>
      <w:szCs w:val="18"/>
      <w:bdr w:val="nil"/>
    </w:rPr>
  </w:style>
  <w:style w:type="character" w:styleId="FollowedHyperlink">
    <w:name w:val="FollowedHyperlink"/>
    <w:basedOn w:val="DefaultParagraphFont"/>
    <w:uiPriority w:val="99"/>
    <w:semiHidden/>
    <w:unhideWhenUsed/>
    <w:rsid w:val="00693619"/>
    <w:rPr>
      <w:color w:val="954F72" w:themeColor="followedHyperlink"/>
      <w:u w:val="single"/>
    </w:rPr>
  </w:style>
  <w:style w:type="character" w:styleId="CommentReference">
    <w:name w:val="annotation reference"/>
    <w:basedOn w:val="DefaultParagraphFont"/>
    <w:uiPriority w:val="99"/>
    <w:semiHidden/>
    <w:unhideWhenUsed/>
    <w:rsid w:val="0041544C"/>
    <w:rPr>
      <w:sz w:val="16"/>
      <w:szCs w:val="16"/>
    </w:rPr>
  </w:style>
  <w:style w:type="paragraph" w:styleId="CommentText">
    <w:name w:val="annotation text"/>
    <w:basedOn w:val="Normal"/>
    <w:link w:val="CommentTextChar"/>
    <w:uiPriority w:val="99"/>
    <w:semiHidden/>
    <w:unhideWhenUsed/>
    <w:rsid w:val="0041544C"/>
    <w:rPr>
      <w:sz w:val="20"/>
      <w:szCs w:val="20"/>
    </w:rPr>
  </w:style>
  <w:style w:type="character" w:customStyle="1" w:styleId="CommentTextChar">
    <w:name w:val="Comment Text Char"/>
    <w:basedOn w:val="DefaultParagraphFont"/>
    <w:link w:val="CommentText"/>
    <w:uiPriority w:val="99"/>
    <w:semiHidden/>
    <w:rsid w:val="0041544C"/>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41544C"/>
    <w:rPr>
      <w:b/>
      <w:bCs/>
    </w:rPr>
  </w:style>
  <w:style w:type="character" w:customStyle="1" w:styleId="CommentSubjectChar">
    <w:name w:val="Comment Subject Char"/>
    <w:basedOn w:val="CommentTextChar"/>
    <w:link w:val="CommentSubject"/>
    <w:uiPriority w:val="99"/>
    <w:semiHidden/>
    <w:rsid w:val="0041544C"/>
    <w:rPr>
      <w:rFonts w:ascii="Times New Roman" w:eastAsia="Arial Unicode MS" w:hAnsi="Times New Roman" w:cs="Times New Roman"/>
      <w:b/>
      <w:bCs/>
      <w:sz w:val="20"/>
      <w:szCs w:val="20"/>
      <w:bdr w:val="nil"/>
    </w:rPr>
  </w:style>
  <w:style w:type="character" w:styleId="UnresolvedMention">
    <w:name w:val="Unresolved Mention"/>
    <w:basedOn w:val="DefaultParagraphFont"/>
    <w:uiPriority w:val="99"/>
    <w:semiHidden/>
    <w:unhideWhenUsed/>
    <w:rsid w:val="009E5151"/>
    <w:rPr>
      <w:color w:val="605E5C"/>
      <w:shd w:val="clear" w:color="auto" w:fill="E1DFDD"/>
    </w:rPr>
  </w:style>
  <w:style w:type="character" w:customStyle="1" w:styleId="jlqj4b">
    <w:name w:val="jlqj4b"/>
    <w:basedOn w:val="DefaultParagraphFont"/>
    <w:rsid w:val="000D59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45644">
      <w:bodyDiv w:val="1"/>
      <w:marLeft w:val="0"/>
      <w:marRight w:val="0"/>
      <w:marTop w:val="0"/>
      <w:marBottom w:val="0"/>
      <w:divBdr>
        <w:top w:val="none" w:sz="0" w:space="0" w:color="auto"/>
        <w:left w:val="none" w:sz="0" w:space="0" w:color="auto"/>
        <w:bottom w:val="none" w:sz="0" w:space="0" w:color="auto"/>
        <w:right w:val="none" w:sz="0" w:space="0" w:color="auto"/>
      </w:divBdr>
    </w:div>
    <w:div w:id="606624983">
      <w:bodyDiv w:val="1"/>
      <w:marLeft w:val="0"/>
      <w:marRight w:val="0"/>
      <w:marTop w:val="0"/>
      <w:marBottom w:val="0"/>
      <w:divBdr>
        <w:top w:val="none" w:sz="0" w:space="0" w:color="auto"/>
        <w:left w:val="none" w:sz="0" w:space="0" w:color="auto"/>
        <w:bottom w:val="none" w:sz="0" w:space="0" w:color="auto"/>
        <w:right w:val="none" w:sz="0" w:space="0" w:color="auto"/>
      </w:divBdr>
    </w:div>
    <w:div w:id="1509057558">
      <w:bodyDiv w:val="1"/>
      <w:marLeft w:val="0"/>
      <w:marRight w:val="0"/>
      <w:marTop w:val="0"/>
      <w:marBottom w:val="0"/>
      <w:divBdr>
        <w:top w:val="none" w:sz="0" w:space="0" w:color="auto"/>
        <w:left w:val="none" w:sz="0" w:space="0" w:color="auto"/>
        <w:bottom w:val="none" w:sz="0" w:space="0" w:color="auto"/>
        <w:right w:val="none" w:sz="0" w:space="0" w:color="auto"/>
      </w:divBdr>
    </w:div>
    <w:div w:id="1699504919">
      <w:bodyDiv w:val="1"/>
      <w:marLeft w:val="0"/>
      <w:marRight w:val="0"/>
      <w:marTop w:val="0"/>
      <w:marBottom w:val="0"/>
      <w:divBdr>
        <w:top w:val="none" w:sz="0" w:space="0" w:color="auto"/>
        <w:left w:val="none" w:sz="0" w:space="0" w:color="auto"/>
        <w:bottom w:val="none" w:sz="0" w:space="0" w:color="auto"/>
        <w:right w:val="none" w:sz="0" w:space="0" w:color="auto"/>
      </w:divBdr>
    </w:div>
    <w:div w:id="1755008893">
      <w:bodyDiv w:val="1"/>
      <w:marLeft w:val="0"/>
      <w:marRight w:val="0"/>
      <w:marTop w:val="0"/>
      <w:marBottom w:val="0"/>
      <w:divBdr>
        <w:top w:val="none" w:sz="0" w:space="0" w:color="auto"/>
        <w:left w:val="none" w:sz="0" w:space="0" w:color="auto"/>
        <w:bottom w:val="none" w:sz="0" w:space="0" w:color="auto"/>
        <w:right w:val="none" w:sz="0" w:space="0" w:color="auto"/>
      </w:divBdr>
      <w:divsChild>
        <w:div w:id="1665157364">
          <w:marLeft w:val="0"/>
          <w:marRight w:val="0"/>
          <w:marTop w:val="0"/>
          <w:marBottom w:val="0"/>
          <w:divBdr>
            <w:top w:val="none" w:sz="0" w:space="0" w:color="auto"/>
            <w:left w:val="none" w:sz="0" w:space="0" w:color="auto"/>
            <w:bottom w:val="none" w:sz="0" w:space="0" w:color="auto"/>
            <w:right w:val="none" w:sz="0" w:space="0" w:color="auto"/>
          </w:divBdr>
          <w:divsChild>
            <w:div w:id="30088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219105">
      <w:bodyDiv w:val="1"/>
      <w:marLeft w:val="0"/>
      <w:marRight w:val="0"/>
      <w:marTop w:val="0"/>
      <w:marBottom w:val="0"/>
      <w:divBdr>
        <w:top w:val="none" w:sz="0" w:space="0" w:color="auto"/>
        <w:left w:val="none" w:sz="0" w:space="0" w:color="auto"/>
        <w:bottom w:val="none" w:sz="0" w:space="0" w:color="auto"/>
        <w:right w:val="none" w:sz="0" w:space="0" w:color="auto"/>
      </w:divBdr>
    </w:div>
    <w:div w:id="209146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microsoft.com/office/2014/relationships/chartEx" Target="charts/chartEx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image" Target="media/image1.png"/><Relationship Id="rId2" Type="http://schemas.openxmlformats.org/officeDocument/2006/relationships/customXml" Target="../customXml/item2.xml"/><Relationship Id="rId16" Type="http://schemas.microsoft.com/office/2014/relationships/chartEx" Target="charts/chartEx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produtos.seade.gov.br/produtos/projpop/index.php" TargetMode="External"/><Relationship Id="rId1" Type="http://schemas.openxmlformats.org/officeDocument/2006/relationships/hyperlink" Target="http://www.imp.seade.gov.br/frontend/"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Work\TCG\Brazil\Sao%20Paulo\Baseline\Socio-Econ\SP%20Linha%20de%20base%20socioecon&#244;mica%2003-05-202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openxmlformats.org/officeDocument/2006/relationships/oleObject" Target="file:///C:\Work\TCG\Brazil\Sao%20Paulo\Baseline\Socio-Econ\SP%20Linha%20de%20base%20socioecon&#244;mica%2004-02-2020.xlsx"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oleObject" Target="file:///C:\Work\TCG\Brazil\Sao%20Paulo\Baseline\Socio-Econ\SP%20Linha%20de%20base%20socioecon&#244;mica%2003-05-2020.xlsx" TargetMode="External"/></Relationships>
</file>

<file path=word/charts/_rels/chartEx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Work\TCG\Brazil\Sao%20Paulo\Baseline\Socio-Econ\SP%20Linha%20de%20base%20socioecon&#244;mica%2004-19-2021.xlsx" TargetMode="External"/></Relationships>
</file>

<file path=word/charts/_rels/chartEx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C:\Work\TCG\Brazil\Sao%20Paulo\Baseline\Socio-Econ\SP%20Linha%20de%20base%20socioecon&#244;mica%2004-19-20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Población urbana</c:v>
          </c:tx>
          <c:spPr>
            <a:ln w="28575" cap="rnd">
              <a:solidFill>
                <a:schemeClr val="accent1"/>
              </a:solidFill>
              <a:round/>
            </a:ln>
            <a:effectLst/>
          </c:spPr>
          <c:marker>
            <c:symbol val="none"/>
          </c:marker>
          <c:dLbls>
            <c:dLbl>
              <c:idx val="15"/>
              <c:layout>
                <c:manualLayout>
                  <c:x val="-5.532408794921396E-3"/>
                  <c:y val="6.1319775120299701E-2"/>
                </c:manualLayout>
              </c:layout>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01B-4A58-A815-9797DEC54A93}"/>
                </c:ext>
              </c:extLst>
            </c:dLbl>
            <c:dLbl>
              <c:idx val="50"/>
              <c:layout>
                <c:manualLayout>
                  <c:x val="-5.8079833770778654E-2"/>
                  <c:y val="9.8653397491980169E-2"/>
                </c:manualLayout>
              </c:layout>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01B-4A58-A815-9797DEC54A9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'População e SPG'!$A$11:$A$61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'População e SPG'!$B$11:$B$61</c:f>
              <c:numCache>
                <c:formatCode>_(* #,##0_);_(* \(#,##0\);_(* "-"??_);_(@_)</c:formatCode>
                <c:ptCount val="51"/>
                <c:pt idx="0">
                  <c:v>34538004</c:v>
                </c:pt>
                <c:pt idx="1">
                  <c:v>34975924</c:v>
                </c:pt>
                <c:pt idx="2">
                  <c:v>35463718</c:v>
                </c:pt>
                <c:pt idx="3">
                  <c:v>35955125</c:v>
                </c:pt>
                <c:pt idx="4">
                  <c:v>36452533</c:v>
                </c:pt>
                <c:pt idx="5">
                  <c:v>36956632</c:v>
                </c:pt>
                <c:pt idx="6">
                  <c:v>37464570</c:v>
                </c:pt>
                <c:pt idx="7">
                  <c:v>37975764</c:v>
                </c:pt>
                <c:pt idx="8">
                  <c:v>38492796</c:v>
                </c:pt>
                <c:pt idx="9">
                  <c:v>39015633</c:v>
                </c:pt>
                <c:pt idx="10">
                  <c:v>39548206</c:v>
                </c:pt>
                <c:pt idx="11">
                  <c:v>39920351</c:v>
                </c:pt>
                <c:pt idx="12">
                  <c:v>40295489</c:v>
                </c:pt>
                <c:pt idx="13">
                  <c:v>40673751</c:v>
                </c:pt>
                <c:pt idx="14">
                  <c:v>41054897</c:v>
                </c:pt>
                <c:pt idx="15">
                  <c:v>41439478</c:v>
                </c:pt>
                <c:pt idx="16">
                  <c:v>41764046</c:v>
                </c:pt>
                <c:pt idx="17">
                  <c:v>42090776</c:v>
                </c:pt>
                <c:pt idx="18">
                  <c:v>42419766</c:v>
                </c:pt>
                <c:pt idx="19">
                  <c:v>42751098</c:v>
                </c:pt>
                <c:pt idx="20">
                  <c:v>43084899</c:v>
                </c:pt>
                <c:pt idx="21">
                  <c:v>43350975.200000003</c:v>
                </c:pt>
                <c:pt idx="22">
                  <c:v>43617051.400000006</c:v>
                </c:pt>
                <c:pt idx="23">
                  <c:v>43883127.600000009</c:v>
                </c:pt>
                <c:pt idx="24">
                  <c:v>44149203.800000012</c:v>
                </c:pt>
                <c:pt idx="25">
                  <c:v>44415280</c:v>
                </c:pt>
                <c:pt idx="26">
                  <c:v>44604216.399999999</c:v>
                </c:pt>
                <c:pt idx="27">
                  <c:v>44793152.799999997</c:v>
                </c:pt>
                <c:pt idx="28">
                  <c:v>44982089.199999996</c:v>
                </c:pt>
                <c:pt idx="29">
                  <c:v>45171025.599999994</c:v>
                </c:pt>
                <c:pt idx="30">
                  <c:v>45359962</c:v>
                </c:pt>
                <c:pt idx="31">
                  <c:v>45481729.200000003</c:v>
                </c:pt>
                <c:pt idx="32">
                  <c:v>45603496.400000006</c:v>
                </c:pt>
                <c:pt idx="33">
                  <c:v>45725263.600000009</c:v>
                </c:pt>
                <c:pt idx="34">
                  <c:v>45847030.800000012</c:v>
                </c:pt>
                <c:pt idx="35">
                  <c:v>45968798</c:v>
                </c:pt>
                <c:pt idx="36">
                  <c:v>46025825.399999999</c:v>
                </c:pt>
                <c:pt idx="37">
                  <c:v>46082852.799999997</c:v>
                </c:pt>
                <c:pt idx="38">
                  <c:v>46139880.199999996</c:v>
                </c:pt>
                <c:pt idx="39">
                  <c:v>46196907.599999994</c:v>
                </c:pt>
                <c:pt idx="40">
                  <c:v>46253935</c:v>
                </c:pt>
                <c:pt idx="41">
                  <c:v>46256264.600000001</c:v>
                </c:pt>
                <c:pt idx="42">
                  <c:v>46258594.200000003</c:v>
                </c:pt>
                <c:pt idx="43">
                  <c:v>46260923.800000004</c:v>
                </c:pt>
                <c:pt idx="44">
                  <c:v>46263253.400000006</c:v>
                </c:pt>
                <c:pt idx="45">
                  <c:v>46265583</c:v>
                </c:pt>
                <c:pt idx="46">
                  <c:v>46197013.200000003</c:v>
                </c:pt>
                <c:pt idx="47">
                  <c:v>46128443.400000006</c:v>
                </c:pt>
                <c:pt idx="48">
                  <c:v>46059873.600000009</c:v>
                </c:pt>
                <c:pt idx="49">
                  <c:v>45991303.800000012</c:v>
                </c:pt>
                <c:pt idx="50">
                  <c:v>45922734</c:v>
                </c:pt>
              </c:numCache>
            </c:numRef>
          </c:val>
          <c:smooth val="0"/>
          <c:extLst>
            <c:ext xmlns:c16="http://schemas.microsoft.com/office/drawing/2014/chart" uri="{C3380CC4-5D6E-409C-BE32-E72D297353CC}">
              <c16:uniqueId val="{00000002-201B-4A58-A815-9797DEC54A93}"/>
            </c:ext>
          </c:extLst>
        </c:ser>
        <c:ser>
          <c:idx val="1"/>
          <c:order val="1"/>
          <c:tx>
            <c:v>Población rural</c:v>
          </c:tx>
          <c:spPr>
            <a:ln w="28575" cap="rnd">
              <a:solidFill>
                <a:schemeClr val="accent2"/>
              </a:solidFill>
              <a:round/>
            </a:ln>
            <a:effectLst/>
          </c:spPr>
          <c:marker>
            <c:symbol val="none"/>
          </c:marker>
          <c:dLbls>
            <c:dLbl>
              <c:idx val="15"/>
              <c:layout>
                <c:manualLayout>
                  <c:x val="-3.5986159169550225E-2"/>
                  <c:y val="-0.10270205952497978"/>
                </c:manualLayout>
              </c:layout>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01B-4A58-A815-9797DEC54A93}"/>
                </c:ext>
              </c:extLst>
            </c:dLbl>
            <c:dLbl>
              <c:idx val="50"/>
              <c:layout>
                <c:manualLayout>
                  <c:x val="-6.9158161458191425E-2"/>
                  <c:y val="-8.3891258381809192E-2"/>
                </c:manualLayout>
              </c:layout>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01B-4A58-A815-9797DEC54A9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'População e SPG'!$A$11:$A$61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'População e SPG'!$C$11:$C$61</c:f>
              <c:numCache>
                <c:formatCode>_(* #,##0_);_(* \(#,##0\);_(* "-"??_);_(@_)</c:formatCode>
                <c:ptCount val="51"/>
                <c:pt idx="0">
                  <c:v>2436374</c:v>
                </c:pt>
                <c:pt idx="1">
                  <c:v>2481469</c:v>
                </c:pt>
                <c:pt idx="2">
                  <c:v>2442696</c:v>
                </c:pt>
                <c:pt idx="3">
                  <c:v>2385850</c:v>
                </c:pt>
                <c:pt idx="4">
                  <c:v>2318280</c:v>
                </c:pt>
                <c:pt idx="5">
                  <c:v>2244547</c:v>
                </c:pt>
                <c:pt idx="6">
                  <c:v>2155707</c:v>
                </c:pt>
                <c:pt idx="7">
                  <c:v>2046049</c:v>
                </c:pt>
                <c:pt idx="8">
                  <c:v>1926990</c:v>
                </c:pt>
                <c:pt idx="9">
                  <c:v>1799443</c:v>
                </c:pt>
                <c:pt idx="10">
                  <c:v>1675477</c:v>
                </c:pt>
                <c:pt idx="11">
                  <c:v>1659344</c:v>
                </c:pt>
                <c:pt idx="12">
                  <c:v>1644508</c:v>
                </c:pt>
                <c:pt idx="13">
                  <c:v>1630943</c:v>
                </c:pt>
                <c:pt idx="14">
                  <c:v>1618489</c:v>
                </c:pt>
                <c:pt idx="15">
                  <c:v>1607077</c:v>
                </c:pt>
                <c:pt idx="16">
                  <c:v>1594959</c:v>
                </c:pt>
                <c:pt idx="17">
                  <c:v>1583757</c:v>
                </c:pt>
                <c:pt idx="18">
                  <c:v>1573393</c:v>
                </c:pt>
                <c:pt idx="19">
                  <c:v>1563832</c:v>
                </c:pt>
                <c:pt idx="20">
                  <c:v>1555000</c:v>
                </c:pt>
                <c:pt idx="21">
                  <c:v>1545962.4</c:v>
                </c:pt>
                <c:pt idx="22">
                  <c:v>1536924.7999999998</c:v>
                </c:pt>
                <c:pt idx="23">
                  <c:v>1527887.1999999997</c:v>
                </c:pt>
                <c:pt idx="24">
                  <c:v>1518849.5999999996</c:v>
                </c:pt>
                <c:pt idx="25">
                  <c:v>1509812</c:v>
                </c:pt>
                <c:pt idx="26">
                  <c:v>1500947.2</c:v>
                </c:pt>
                <c:pt idx="27">
                  <c:v>1492082.4</c:v>
                </c:pt>
                <c:pt idx="28">
                  <c:v>1483217.5999999999</c:v>
                </c:pt>
                <c:pt idx="29">
                  <c:v>1474352.7999999998</c:v>
                </c:pt>
                <c:pt idx="30">
                  <c:v>1465488</c:v>
                </c:pt>
                <c:pt idx="31">
                  <c:v>1456544.4</c:v>
                </c:pt>
                <c:pt idx="32">
                  <c:v>1447600.7999999998</c:v>
                </c:pt>
                <c:pt idx="33">
                  <c:v>1438657.1999999997</c:v>
                </c:pt>
                <c:pt idx="34">
                  <c:v>1429713.5999999996</c:v>
                </c:pt>
                <c:pt idx="35">
                  <c:v>1420770</c:v>
                </c:pt>
                <c:pt idx="36">
                  <c:v>1411681.2</c:v>
                </c:pt>
                <c:pt idx="37">
                  <c:v>1402592.4</c:v>
                </c:pt>
                <c:pt idx="38">
                  <c:v>1393503.5999999999</c:v>
                </c:pt>
                <c:pt idx="39">
                  <c:v>1384414.7999999998</c:v>
                </c:pt>
                <c:pt idx="40">
                  <c:v>1375326</c:v>
                </c:pt>
                <c:pt idx="41">
                  <c:v>1366127.8</c:v>
                </c:pt>
                <c:pt idx="42">
                  <c:v>1356929.6</c:v>
                </c:pt>
                <c:pt idx="43">
                  <c:v>1347731.4000000001</c:v>
                </c:pt>
                <c:pt idx="44">
                  <c:v>1338533.2000000002</c:v>
                </c:pt>
                <c:pt idx="45">
                  <c:v>1329335</c:v>
                </c:pt>
                <c:pt idx="46">
                  <c:v>1319604.6000000001</c:v>
                </c:pt>
                <c:pt idx="47">
                  <c:v>1309874.2000000002</c:v>
                </c:pt>
                <c:pt idx="48">
                  <c:v>1300143.8000000003</c:v>
                </c:pt>
                <c:pt idx="49">
                  <c:v>1290413.4000000004</c:v>
                </c:pt>
                <c:pt idx="50">
                  <c:v>1280683</c:v>
                </c:pt>
              </c:numCache>
            </c:numRef>
          </c:val>
          <c:smooth val="0"/>
          <c:extLst>
            <c:ext xmlns:c16="http://schemas.microsoft.com/office/drawing/2014/chart" uri="{C3380CC4-5D6E-409C-BE32-E72D297353CC}">
              <c16:uniqueId val="{00000005-201B-4A58-A815-9797DEC54A93}"/>
            </c:ext>
          </c:extLst>
        </c:ser>
        <c:ser>
          <c:idx val="2"/>
          <c:order val="2"/>
          <c:tx>
            <c:v>Población total</c:v>
          </c:tx>
          <c:spPr>
            <a:ln w="28575" cap="rnd">
              <a:solidFill>
                <a:schemeClr val="accent3"/>
              </a:solidFill>
              <a:round/>
            </a:ln>
            <a:effectLst/>
          </c:spPr>
          <c:marker>
            <c:symbol val="none"/>
          </c:marker>
          <c:dLbls>
            <c:dLbl>
              <c:idx val="0"/>
              <c:layout>
                <c:manualLayout>
                  <c:x val="0"/>
                  <c:y val="-0.1088328210875606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01B-4A58-A815-9797DEC54A93}"/>
                </c:ext>
              </c:extLst>
            </c:dLbl>
            <c:dLbl>
              <c:idx val="15"/>
              <c:layout>
                <c:manualLayout>
                  <c:x val="-5.5325034578146665E-2"/>
                  <c:y val="-9.936909751472931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01B-4A58-A815-9797DEC54A93}"/>
                </c:ext>
              </c:extLst>
            </c:dLbl>
            <c:dLbl>
              <c:idx val="50"/>
              <c:layout>
                <c:manualLayout>
                  <c:x val="-8.5753803596127345E-2"/>
                  <c:y val="-3.31230325049097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01B-4A58-A815-9797DEC54A9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'População e SPG'!$A$11:$A$61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'População e SPG'!$D$11:$D$61</c:f>
              <c:numCache>
                <c:formatCode>_(* #,##0_);_(* \(#,##0\);_(* "-"??_);_(@_)</c:formatCode>
                <c:ptCount val="51"/>
                <c:pt idx="0">
                  <c:v>36974378</c:v>
                </c:pt>
                <c:pt idx="1">
                  <c:v>37457393</c:v>
                </c:pt>
                <c:pt idx="2">
                  <c:v>37906414</c:v>
                </c:pt>
                <c:pt idx="3">
                  <c:v>38340975</c:v>
                </c:pt>
                <c:pt idx="4">
                  <c:v>38770813</c:v>
                </c:pt>
                <c:pt idx="5">
                  <c:v>39201179</c:v>
                </c:pt>
                <c:pt idx="6">
                  <c:v>39620277</c:v>
                </c:pt>
                <c:pt idx="7">
                  <c:v>40021813</c:v>
                </c:pt>
                <c:pt idx="8">
                  <c:v>40419786</c:v>
                </c:pt>
                <c:pt idx="9">
                  <c:v>40815076</c:v>
                </c:pt>
                <c:pt idx="10">
                  <c:v>41223683</c:v>
                </c:pt>
                <c:pt idx="11">
                  <c:v>41579695</c:v>
                </c:pt>
                <c:pt idx="12">
                  <c:v>41939997</c:v>
                </c:pt>
                <c:pt idx="13">
                  <c:v>42304694</c:v>
                </c:pt>
                <c:pt idx="14">
                  <c:v>42673386</c:v>
                </c:pt>
                <c:pt idx="15">
                  <c:v>43046555</c:v>
                </c:pt>
                <c:pt idx="16">
                  <c:v>43359005</c:v>
                </c:pt>
                <c:pt idx="17">
                  <c:v>43674533</c:v>
                </c:pt>
                <c:pt idx="18">
                  <c:v>43993159</c:v>
                </c:pt>
                <c:pt idx="19">
                  <c:v>44314930</c:v>
                </c:pt>
                <c:pt idx="20">
                  <c:v>44639899</c:v>
                </c:pt>
                <c:pt idx="21">
                  <c:v>44896937.600000001</c:v>
                </c:pt>
                <c:pt idx="22">
                  <c:v>45153976.200000003</c:v>
                </c:pt>
                <c:pt idx="23">
                  <c:v>45411014.800000012</c:v>
                </c:pt>
                <c:pt idx="24">
                  <c:v>45668053.400000013</c:v>
                </c:pt>
                <c:pt idx="25">
                  <c:v>45925092</c:v>
                </c:pt>
                <c:pt idx="26">
                  <c:v>46105163.600000001</c:v>
                </c:pt>
                <c:pt idx="27">
                  <c:v>46285235.199999996</c:v>
                </c:pt>
                <c:pt idx="28">
                  <c:v>46465306.799999997</c:v>
                </c:pt>
                <c:pt idx="29">
                  <c:v>46645378.399999991</c:v>
                </c:pt>
                <c:pt idx="30">
                  <c:v>46825450</c:v>
                </c:pt>
                <c:pt idx="31">
                  <c:v>46938273.600000001</c:v>
                </c:pt>
                <c:pt idx="32">
                  <c:v>47051097.200000003</c:v>
                </c:pt>
                <c:pt idx="33">
                  <c:v>47163920.800000012</c:v>
                </c:pt>
                <c:pt idx="34">
                  <c:v>47276744.400000013</c:v>
                </c:pt>
                <c:pt idx="35">
                  <c:v>47389568</c:v>
                </c:pt>
                <c:pt idx="36">
                  <c:v>47437506.600000001</c:v>
                </c:pt>
                <c:pt idx="37">
                  <c:v>47485445.199999996</c:v>
                </c:pt>
                <c:pt idx="38">
                  <c:v>47533383.799999997</c:v>
                </c:pt>
                <c:pt idx="39">
                  <c:v>47581322.399999991</c:v>
                </c:pt>
                <c:pt idx="40">
                  <c:v>47629261</c:v>
                </c:pt>
                <c:pt idx="41">
                  <c:v>47622392.399999999</c:v>
                </c:pt>
                <c:pt idx="42">
                  <c:v>47615523.800000004</c:v>
                </c:pt>
                <c:pt idx="43">
                  <c:v>47608655.200000003</c:v>
                </c:pt>
                <c:pt idx="44">
                  <c:v>47601786.600000009</c:v>
                </c:pt>
                <c:pt idx="45">
                  <c:v>47594918</c:v>
                </c:pt>
                <c:pt idx="46">
                  <c:v>47516617.800000004</c:v>
                </c:pt>
                <c:pt idx="47">
                  <c:v>47438317.600000009</c:v>
                </c:pt>
                <c:pt idx="48">
                  <c:v>47360017.400000006</c:v>
                </c:pt>
                <c:pt idx="49">
                  <c:v>47281717.20000001</c:v>
                </c:pt>
                <c:pt idx="50">
                  <c:v>47203417</c:v>
                </c:pt>
              </c:numCache>
            </c:numRef>
          </c:val>
          <c:smooth val="0"/>
          <c:extLst>
            <c:ext xmlns:c16="http://schemas.microsoft.com/office/drawing/2014/chart" uri="{C3380CC4-5D6E-409C-BE32-E72D297353CC}">
              <c16:uniqueId val="{00000009-201B-4A58-A815-9797DEC54A93}"/>
            </c:ext>
          </c:extLst>
        </c:ser>
        <c:dLbls>
          <c:showLegendKey val="0"/>
          <c:showVal val="0"/>
          <c:showCatName val="0"/>
          <c:showSerName val="0"/>
          <c:showPercent val="0"/>
          <c:showBubbleSize val="0"/>
        </c:dLbls>
        <c:smooth val="0"/>
        <c:axId val="736866536"/>
        <c:axId val="736866864"/>
      </c:lineChart>
      <c:catAx>
        <c:axId val="73686653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36866864"/>
        <c:crosses val="autoZero"/>
        <c:auto val="1"/>
        <c:lblAlgn val="ctr"/>
        <c:lblOffset val="100"/>
        <c:tickLblSkip val="5"/>
        <c:tickMarkSkip val="5"/>
        <c:noMultiLvlLbl val="0"/>
      </c:catAx>
      <c:valAx>
        <c:axId val="7368668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lumMod val="65000"/>
                        <a:lumOff val="35000"/>
                      </a:sysClr>
                    </a:solidFill>
                    <a:latin typeface="+mn-lt"/>
                    <a:ea typeface="+mn-ea"/>
                    <a:cs typeface="+mn-cs"/>
                  </a:defRPr>
                </a:pPr>
                <a:r>
                  <a:rPr lang="pt-PT" sz="1200"/>
                  <a:t>População</a:t>
                </a:r>
              </a:p>
            </c:rich>
          </c:tx>
          <c:layout>
            <c:manualLayout>
              <c:xMode val="edge"/>
              <c:yMode val="edge"/>
              <c:x val="1.3888888888888888E-2"/>
              <c:y val="0.33983012540099161"/>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lumMod val="65000"/>
                      <a:lumOff val="35000"/>
                    </a:sysClr>
                  </a:solidFill>
                  <a:latin typeface="+mn-lt"/>
                  <a:ea typeface="+mn-ea"/>
                  <a:cs typeface="+mn-cs"/>
                </a:defRPr>
              </a:pPr>
              <a:endParaRPr lang="en-US"/>
            </a:p>
          </c:txPr>
        </c:title>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36866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2"/>
          <c:order val="0"/>
          <c:tx>
            <c:v>PEB</c:v>
          </c:tx>
          <c:spPr>
            <a:ln w="28575" cap="rnd">
              <a:solidFill>
                <a:schemeClr val="accent3"/>
              </a:solidFill>
              <a:round/>
            </a:ln>
            <a:effectLst/>
          </c:spPr>
          <c:marker>
            <c:symbol val="none"/>
          </c:marker>
          <c:dLbls>
            <c:dLbl>
              <c:idx val="0"/>
              <c:layout>
                <c:manualLayout>
                  <c:x val="0"/>
                  <c:y val="-0.1088328210875606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2E7-4DD2-86A0-D5C144B67C9F}"/>
                </c:ext>
              </c:extLst>
            </c:dLbl>
            <c:dLbl>
              <c:idx val="16"/>
              <c:layout>
                <c:manualLayout>
                  <c:x val="-7.4711758375767726E-2"/>
                  <c:y val="-7.062518675820382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2E7-4DD2-86A0-D5C144B67C9F}"/>
                </c:ext>
              </c:extLst>
            </c:dLbl>
            <c:dLbl>
              <c:idx val="50"/>
              <c:layout>
                <c:manualLayout>
                  <c:x val="-8.5753803596127345E-2"/>
                  <c:y val="-3.31230325049097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2E7-4DD2-86A0-D5C144B67C9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'População e SPG'!$A$11:$A$61</c:f>
              <c:numCache>
                <c:formatCode>General</c:formatCode>
                <c:ptCount val="51"/>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pt idx="23">
                  <c:v>2023</c:v>
                </c:pt>
                <c:pt idx="24">
                  <c:v>2024</c:v>
                </c:pt>
                <c:pt idx="25">
                  <c:v>2025</c:v>
                </c:pt>
                <c:pt idx="26">
                  <c:v>2026</c:v>
                </c:pt>
                <c:pt idx="27">
                  <c:v>2027</c:v>
                </c:pt>
                <c:pt idx="28">
                  <c:v>2028</c:v>
                </c:pt>
                <c:pt idx="29">
                  <c:v>2029</c:v>
                </c:pt>
                <c:pt idx="30">
                  <c:v>2030</c:v>
                </c:pt>
                <c:pt idx="31">
                  <c:v>2031</c:v>
                </c:pt>
                <c:pt idx="32">
                  <c:v>2032</c:v>
                </c:pt>
                <c:pt idx="33">
                  <c:v>2033</c:v>
                </c:pt>
                <c:pt idx="34">
                  <c:v>2034</c:v>
                </c:pt>
                <c:pt idx="35">
                  <c:v>2035</c:v>
                </c:pt>
                <c:pt idx="36">
                  <c:v>2036</c:v>
                </c:pt>
                <c:pt idx="37">
                  <c:v>2037</c:v>
                </c:pt>
                <c:pt idx="38">
                  <c:v>2038</c:v>
                </c:pt>
                <c:pt idx="39">
                  <c:v>2039</c:v>
                </c:pt>
                <c:pt idx="40">
                  <c:v>2040</c:v>
                </c:pt>
                <c:pt idx="41">
                  <c:v>2041</c:v>
                </c:pt>
                <c:pt idx="42">
                  <c:v>2042</c:v>
                </c:pt>
                <c:pt idx="43">
                  <c:v>2043</c:v>
                </c:pt>
                <c:pt idx="44">
                  <c:v>2044</c:v>
                </c:pt>
                <c:pt idx="45">
                  <c:v>2045</c:v>
                </c:pt>
                <c:pt idx="46">
                  <c:v>2046</c:v>
                </c:pt>
                <c:pt idx="47">
                  <c:v>2047</c:v>
                </c:pt>
                <c:pt idx="48">
                  <c:v>2048</c:v>
                </c:pt>
                <c:pt idx="49">
                  <c:v>2049</c:v>
                </c:pt>
                <c:pt idx="50">
                  <c:v>2050</c:v>
                </c:pt>
              </c:numCache>
            </c:numRef>
          </c:cat>
          <c:val>
            <c:numRef>
              <c:f>'População e SPG'!$F$11:$F$61</c:f>
              <c:numCache>
                <c:formatCode>_-[$R$-416]\ * #,##0_-;\-[$R$-416]\ * #,##0_-;_-[$R$-416]\ * "-"??_-;_-@_-</c:formatCode>
                <c:ptCount val="51"/>
                <c:pt idx="0">
                  <c:v>1682029959.6953239</c:v>
                </c:pt>
                <c:pt idx="1">
                  <c:v>1729133225.3958678</c:v>
                </c:pt>
                <c:pt idx="2">
                  <c:v>1761515760.1208625</c:v>
                </c:pt>
                <c:pt idx="3">
                  <c:v>1759908631.6932197</c:v>
                </c:pt>
                <c:pt idx="4">
                  <c:v>1803130513.0615013</c:v>
                </c:pt>
                <c:pt idx="5">
                  <c:v>1909971667.5253932</c:v>
                </c:pt>
                <c:pt idx="6">
                  <c:v>1984963271.6955945</c:v>
                </c:pt>
                <c:pt idx="7">
                  <c:v>2116217685.7706707</c:v>
                </c:pt>
                <c:pt idx="8">
                  <c:v>2167616582.599988</c:v>
                </c:pt>
                <c:pt idx="9">
                  <c:v>2183775284.9210386</c:v>
                </c:pt>
                <c:pt idx="10">
                  <c:v>2313624651.7014093</c:v>
                </c:pt>
                <c:pt idx="11">
                  <c:v>2370172395.168335</c:v>
                </c:pt>
                <c:pt idx="12">
                  <c:v>2382772233.0969357</c:v>
                </c:pt>
                <c:pt idx="13">
                  <c:v>2438511292.9369144</c:v>
                </c:pt>
                <c:pt idx="14">
                  <c:v>2449541227.8763638</c:v>
                </c:pt>
                <c:pt idx="15">
                  <c:v>2377373071.0318618</c:v>
                </c:pt>
                <c:pt idx="16">
                  <c:v>2310452648.2511139</c:v>
                </c:pt>
                <c:pt idx="17">
                  <c:v>2322584663.8154731</c:v>
                </c:pt>
                <c:pt idx="18">
                  <c:v>2367900498.207572</c:v>
                </c:pt>
                <c:pt idx="19">
                  <c:v>2435126163.1445694</c:v>
                </c:pt>
                <c:pt idx="20">
                  <c:v>2548724713.2450027</c:v>
                </c:pt>
                <c:pt idx="21">
                  <c:v>2655860735.2798233</c:v>
                </c:pt>
                <c:pt idx="22">
                  <c:v>2748561731.7836299</c:v>
                </c:pt>
                <c:pt idx="23">
                  <c:v>2829231264.2450304</c:v>
                </c:pt>
                <c:pt idx="24">
                  <c:v>2902114125.0790663</c:v>
                </c:pt>
                <c:pt idx="25">
                  <c:v>2970870282.9161167</c:v>
                </c:pt>
                <c:pt idx="26">
                  <c:v>3037475124.6881633</c:v>
                </c:pt>
                <c:pt idx="27">
                  <c:v>3102958518.6533594</c:v>
                </c:pt>
                <c:pt idx="28">
                  <c:v>3167999278.1331873</c:v>
                </c:pt>
                <c:pt idx="29">
                  <c:v>3232977377.9218011</c:v>
                </c:pt>
                <c:pt idx="30">
                  <c:v>3298112930.2678242</c:v>
                </c:pt>
                <c:pt idx="31">
                  <c:v>3363547321.1411738</c:v>
                </c:pt>
                <c:pt idx="32">
                  <c:v>3429364096.796802</c:v>
                </c:pt>
                <c:pt idx="33">
                  <c:v>3495610653.6678061</c:v>
                </c:pt>
                <c:pt idx="34">
                  <c:v>3562313501.6235461</c:v>
                </c:pt>
                <c:pt idx="35">
                  <c:v>3629475853.9815197</c:v>
                </c:pt>
                <c:pt idx="36">
                  <c:v>3697080037.4954872</c:v>
                </c:pt>
                <c:pt idx="37">
                  <c:v>3765065802.4623594</c:v>
                </c:pt>
                <c:pt idx="38">
                  <c:v>3833340766.0040636</c:v>
                </c:pt>
                <c:pt idx="39">
                  <c:v>3901799691.9725366</c:v>
                </c:pt>
                <c:pt idx="40">
                  <c:v>3970346984.1722078</c:v>
                </c:pt>
                <c:pt idx="41">
                  <c:v>4038903112.9949994</c:v>
                </c:pt>
                <c:pt idx="42">
                  <c:v>4107370875.5865917</c:v>
                </c:pt>
                <c:pt idx="43">
                  <c:v>4175649052.4457941</c:v>
                </c:pt>
                <c:pt idx="44">
                  <c:v>4243650080.6707821</c:v>
                </c:pt>
                <c:pt idx="45">
                  <c:v>4311320137.1934614</c:v>
                </c:pt>
                <c:pt idx="46">
                  <c:v>4378643155.426342</c:v>
                </c:pt>
                <c:pt idx="47">
                  <c:v>4445362069.9695721</c:v>
                </c:pt>
                <c:pt idx="48">
                  <c:v>4511460010.9062872</c:v>
                </c:pt>
                <c:pt idx="49">
                  <c:v>4576949028.1771059</c:v>
                </c:pt>
                <c:pt idx="50">
                  <c:v>4641880534.8619967</c:v>
                </c:pt>
              </c:numCache>
            </c:numRef>
          </c:val>
          <c:smooth val="0"/>
          <c:extLst>
            <c:ext xmlns:c16="http://schemas.microsoft.com/office/drawing/2014/chart" uri="{C3380CC4-5D6E-409C-BE32-E72D297353CC}">
              <c16:uniqueId val="{00000003-E2E7-4DD2-86A0-D5C144B67C9F}"/>
            </c:ext>
          </c:extLst>
        </c:ser>
        <c:dLbls>
          <c:showLegendKey val="0"/>
          <c:showVal val="0"/>
          <c:showCatName val="0"/>
          <c:showSerName val="0"/>
          <c:showPercent val="0"/>
          <c:showBubbleSize val="0"/>
        </c:dLbls>
        <c:smooth val="0"/>
        <c:axId val="736866536"/>
        <c:axId val="736866864"/>
      </c:lineChart>
      <c:catAx>
        <c:axId val="73686653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36866864"/>
        <c:crosses val="autoZero"/>
        <c:auto val="1"/>
        <c:lblAlgn val="ctr"/>
        <c:lblOffset val="100"/>
        <c:tickLblSkip val="5"/>
        <c:tickMarkSkip val="5"/>
        <c:noMultiLvlLbl val="0"/>
      </c:catAx>
      <c:valAx>
        <c:axId val="7368668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100" b="1" i="0" u="none" strike="noStrike" kern="1200" baseline="0">
                    <a:solidFill>
                      <a:sysClr val="windowText" lastClr="000000">
                        <a:lumMod val="65000"/>
                        <a:lumOff val="35000"/>
                      </a:sysClr>
                    </a:solidFill>
                    <a:latin typeface="+mn-lt"/>
                    <a:ea typeface="+mn-ea"/>
                    <a:cs typeface="+mn-cs"/>
                  </a:defRPr>
                </a:pPr>
                <a:r>
                  <a:rPr lang="es-ES" sz="1100"/>
                  <a:t>PEB</a:t>
                </a:r>
                <a:r>
                  <a:rPr lang="es-ES" sz="1100" baseline="0"/>
                  <a:t> (mil R$2019)</a:t>
                </a:r>
                <a:endParaRPr lang="es-ES" sz="1100"/>
              </a:p>
            </c:rich>
          </c:tx>
          <c:layout>
            <c:manualLayout>
              <c:xMode val="edge"/>
              <c:yMode val="edge"/>
              <c:x val="2.4957300563290489E-2"/>
              <c:y val="0.28161283457987096"/>
            </c:manualLayout>
          </c:layout>
          <c:overlay val="0"/>
          <c:spPr>
            <a:noFill/>
            <a:ln>
              <a:noFill/>
            </a:ln>
            <a:effectLst/>
          </c:spPr>
        </c:title>
        <c:numFmt formatCode="_-[$R$-416]\ * #,##0_-;\-[$R$-416]\ * #,##0_-;_-[$R$-416]\ *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36866536"/>
        <c:crosses val="autoZero"/>
        <c:crossBetween val="between"/>
        <c:dispUnits>
          <c:builtInUnit val="millions"/>
          <c:dispUnitsLbl>
            <c:tx>
              <c:rich>
                <a:bodyPr/>
                <a:lstStyle/>
                <a:p>
                  <a:pPr>
                    <a:defRPr sz="800" b="0"/>
                  </a:pPr>
                  <a:r>
                    <a:rPr lang="pt-PT" sz="800" b="0" i="0" u="none" strike="noStrike" baseline="0"/>
                    <a:t>milhões</a:t>
                  </a:r>
                  <a:endParaRPr lang="en-US" sz="800" b="0"/>
                </a:p>
              </c:rich>
            </c:tx>
          </c:dispUnitsLbl>
        </c:dispUnits>
      </c:valAx>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txPr>
    <a:bodyPr/>
    <a:lstStyle/>
    <a:p>
      <a:pPr>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2"/>
          <c:order val="0"/>
          <c:tx>
            <c:v>Crescimento do PIB</c:v>
          </c:tx>
          <c:spPr>
            <a:ln w="28575" cap="rnd">
              <a:solidFill>
                <a:schemeClr val="accent3"/>
              </a:solidFill>
              <a:round/>
            </a:ln>
            <a:effectLst/>
          </c:spPr>
          <c:marker>
            <c:symbol val="none"/>
          </c:marker>
          <c:dLbls>
            <c:dLbl>
              <c:idx val="0"/>
              <c:layout>
                <c:manualLayout>
                  <c:x val="-2.5462668816039986E-17"/>
                  <c:y val="-0.1829068241469815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689-4E43-9043-A043CF74C223}"/>
                </c:ext>
              </c:extLst>
            </c:dLbl>
            <c:dLbl>
              <c:idx val="15"/>
              <c:layout>
                <c:manualLayout>
                  <c:x val="-5.5325034578146665E-2"/>
                  <c:y val="-9.936909751472931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689-4E43-9043-A043CF74C223}"/>
                </c:ext>
              </c:extLst>
            </c:dLbl>
            <c:dLbl>
              <c:idx val="48"/>
              <c:layout>
                <c:manualLayout>
                  <c:x val="-4.9884530187451051E-2"/>
                  <c:y val="-6.563779969396099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689-4E43-9043-A043CF74C223}"/>
                </c:ext>
              </c:extLst>
            </c:dLbl>
            <c:dLbl>
              <c:idx val="50"/>
              <c:layout>
                <c:manualLayout>
                  <c:x val="-8.5753803596127345E-2"/>
                  <c:y val="-3.31230325049097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689-4E43-9043-A043CF74C22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'População e SPG'!$A$13:$A$61</c:f>
              <c:numCache>
                <c:formatCode>General</c:formatCode>
                <c:ptCount val="49"/>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pt idx="17">
                  <c:v>2019</c:v>
                </c:pt>
                <c:pt idx="18">
                  <c:v>2020</c:v>
                </c:pt>
                <c:pt idx="19">
                  <c:v>2021</c:v>
                </c:pt>
                <c:pt idx="20">
                  <c:v>2022</c:v>
                </c:pt>
                <c:pt idx="21">
                  <c:v>2023</c:v>
                </c:pt>
                <c:pt idx="22">
                  <c:v>2024</c:v>
                </c:pt>
                <c:pt idx="23">
                  <c:v>2025</c:v>
                </c:pt>
                <c:pt idx="24">
                  <c:v>2026</c:v>
                </c:pt>
                <c:pt idx="25">
                  <c:v>2027</c:v>
                </c:pt>
                <c:pt idx="26">
                  <c:v>2028</c:v>
                </c:pt>
                <c:pt idx="27">
                  <c:v>2029</c:v>
                </c:pt>
                <c:pt idx="28">
                  <c:v>2030</c:v>
                </c:pt>
                <c:pt idx="29">
                  <c:v>2031</c:v>
                </c:pt>
                <c:pt idx="30">
                  <c:v>2032</c:v>
                </c:pt>
                <c:pt idx="31">
                  <c:v>2033</c:v>
                </c:pt>
                <c:pt idx="32">
                  <c:v>2034</c:v>
                </c:pt>
                <c:pt idx="33">
                  <c:v>2035</c:v>
                </c:pt>
                <c:pt idx="34">
                  <c:v>2036</c:v>
                </c:pt>
                <c:pt idx="35">
                  <c:v>2037</c:v>
                </c:pt>
                <c:pt idx="36">
                  <c:v>2038</c:v>
                </c:pt>
                <c:pt idx="37">
                  <c:v>2039</c:v>
                </c:pt>
                <c:pt idx="38">
                  <c:v>2040</c:v>
                </c:pt>
                <c:pt idx="39">
                  <c:v>2041</c:v>
                </c:pt>
                <c:pt idx="40">
                  <c:v>2042</c:v>
                </c:pt>
                <c:pt idx="41">
                  <c:v>2043</c:v>
                </c:pt>
                <c:pt idx="42">
                  <c:v>2044</c:v>
                </c:pt>
                <c:pt idx="43">
                  <c:v>2045</c:v>
                </c:pt>
                <c:pt idx="44">
                  <c:v>2046</c:v>
                </c:pt>
                <c:pt idx="45">
                  <c:v>2047</c:v>
                </c:pt>
                <c:pt idx="46">
                  <c:v>2048</c:v>
                </c:pt>
                <c:pt idx="47">
                  <c:v>2049</c:v>
                </c:pt>
                <c:pt idx="48">
                  <c:v>2050</c:v>
                </c:pt>
              </c:numCache>
            </c:numRef>
          </c:cat>
          <c:val>
            <c:numRef>
              <c:f>'População e SPG'!$L$13:$L$61</c:f>
              <c:numCache>
                <c:formatCode>0.0%</c:formatCode>
                <c:ptCount val="49"/>
                <c:pt idx="0">
                  <c:v>3.0540135400343837E-2</c:v>
                </c:pt>
                <c:pt idx="1">
                  <c:v>1.1398818843840752E-2</c:v>
                </c:pt>
                <c:pt idx="2">
                  <c:v>5.7643998814536301E-2</c:v>
                </c:pt>
                <c:pt idx="3">
                  <c:v>3.1964738906293144E-2</c:v>
                </c:pt>
                <c:pt idx="4">
                  <c:v>3.9573072130649978E-2</c:v>
                </c:pt>
                <c:pt idx="5">
                  <c:v>6.0603369672271201E-2</c:v>
                </c:pt>
                <c:pt idx="6">
                  <c:v>5.0908634946401188E-2</c:v>
                </c:pt>
                <c:pt idx="7">
                  <c:v>-1.2578641525781142E-3</c:v>
                </c:pt>
                <c:pt idx="8">
                  <c:v>7.541823771694478E-2</c:v>
                </c:pt>
                <c:pt idx="9">
                  <c:v>3.9852739489317557E-2</c:v>
                </c:pt>
                <c:pt idx="10">
                  <c:v>1.9330993192384627E-2</c:v>
                </c:pt>
                <c:pt idx="11">
                  <c:v>3.0103033030437931E-2</c:v>
                </c:pt>
                <c:pt idx="12">
                  <c:v>5.082041349180999E-3</c:v>
                </c:pt>
                <c:pt idx="13">
                  <c:v>-3.5497581180415461E-2</c:v>
                </c:pt>
                <c:pt idx="14">
                  <c:v>-3.4681676805811135E-2</c:v>
                </c:pt>
                <c:pt idx="15">
                  <c:v>9.7607936879979817E-3</c:v>
                </c:pt>
                <c:pt idx="16">
                  <c:v>1.9510950493255796E-2</c:v>
                </c:pt>
                <c:pt idx="17">
                  <c:v>2.8390409558123331E-2</c:v>
                </c:pt>
                <c:pt idx="18">
                  <c:v>4.664996492573481E-2</c:v>
                </c:pt>
                <c:pt idx="19">
                  <c:v>4.2035148589435689E-2</c:v>
                </c:pt>
                <c:pt idx="20">
                  <c:v>3.4904313796423336E-2</c:v>
                </c:pt>
                <c:pt idx="21">
                  <c:v>2.9349725541383931E-2</c:v>
                </c:pt>
                <c:pt idx="22">
                  <c:v>2.5760658647848045E-2</c:v>
                </c:pt>
                <c:pt idx="23">
                  <c:v>2.3691748454302219E-2</c:v>
                </c:pt>
                <c:pt idx="24">
                  <c:v>2.2419303244256561E-2</c:v>
                </c:pt>
                <c:pt idx="25">
                  <c:v>2.1558495552097323E-2</c:v>
                </c:pt>
                <c:pt idx="26">
                  <c:v>2.0960885905769278E-2</c:v>
                </c:pt>
                <c:pt idx="27">
                  <c:v>2.0510768495788145E-2</c:v>
                </c:pt>
                <c:pt idx="28">
                  <c:v>2.0147234184451079E-2</c:v>
                </c:pt>
                <c:pt idx="29">
                  <c:v>1.9839948557503151E-2</c:v>
                </c:pt>
                <c:pt idx="30">
                  <c:v>1.95676675163583E-2</c:v>
                </c:pt>
                <c:pt idx="31">
                  <c:v>1.9317446325656018E-2</c:v>
                </c:pt>
                <c:pt idx="32">
                  <c:v>1.9081887133440167E-2</c:v>
                </c:pt>
                <c:pt idx="33">
                  <c:v>1.8853577128280286E-2</c:v>
                </c:pt>
                <c:pt idx="34">
                  <c:v>1.8626431538263599E-2</c:v>
                </c:pt>
                <c:pt idx="35">
                  <c:v>1.8389043319962273E-2</c:v>
                </c:pt>
                <c:pt idx="36">
                  <c:v>1.8133803530618886E-2</c:v>
                </c:pt>
                <c:pt idx="37">
                  <c:v>1.7858815625159119E-2</c:v>
                </c:pt>
                <c:pt idx="38">
                  <c:v>1.7568121792796987E-2</c:v>
                </c:pt>
                <c:pt idx="39">
                  <c:v>1.7267037137079111E-2</c:v>
                </c:pt>
                <c:pt idx="40">
                  <c:v>1.6952068587954061E-2</c:v>
                </c:pt>
                <c:pt idx="41">
                  <c:v>1.6623328870795318E-2</c:v>
                </c:pt>
                <c:pt idx="42">
                  <c:v>1.6285139716221586E-2</c:v>
                </c:pt>
                <c:pt idx="43">
                  <c:v>1.5946191423960032E-2</c:v>
                </c:pt>
                <c:pt idx="44">
                  <c:v>1.5615406903349616E-2</c:v>
                </c:pt>
                <c:pt idx="45">
                  <c:v>1.5237349145601708E-2</c:v>
                </c:pt>
                <c:pt idx="46">
                  <c:v>1.4868966778485149E-2</c:v>
                </c:pt>
                <c:pt idx="47">
                  <c:v>1.4516147125875234E-2</c:v>
                </c:pt>
                <c:pt idx="48">
                  <c:v>1.4186635307745998E-2</c:v>
                </c:pt>
              </c:numCache>
            </c:numRef>
          </c:val>
          <c:smooth val="0"/>
          <c:extLst>
            <c:ext xmlns:c16="http://schemas.microsoft.com/office/drawing/2014/chart" uri="{C3380CC4-5D6E-409C-BE32-E72D297353CC}">
              <c16:uniqueId val="{00000004-F689-4E43-9043-A043CF74C223}"/>
            </c:ext>
          </c:extLst>
        </c:ser>
        <c:dLbls>
          <c:showLegendKey val="0"/>
          <c:showVal val="0"/>
          <c:showCatName val="0"/>
          <c:showSerName val="0"/>
          <c:showPercent val="0"/>
          <c:showBubbleSize val="0"/>
        </c:dLbls>
        <c:smooth val="0"/>
        <c:axId val="736866536"/>
        <c:axId val="736866864"/>
      </c:lineChart>
      <c:catAx>
        <c:axId val="73686653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36866864"/>
        <c:crosses val="autoZero"/>
        <c:auto val="1"/>
        <c:lblAlgn val="ctr"/>
        <c:lblOffset val="100"/>
        <c:tickLblSkip val="5"/>
        <c:tickMarkSkip val="5"/>
        <c:noMultiLvlLbl val="0"/>
      </c:catAx>
      <c:valAx>
        <c:axId val="73686686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36866536"/>
        <c:crosses val="autoZero"/>
        <c:crossBetween val="between"/>
      </c:valAx>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txPr>
    <a:bodyPr/>
    <a:lstStyle/>
    <a:p>
      <a:pPr>
        <a:defRPr/>
      </a:pPr>
      <a:endParaRPr lang="en-US"/>
    </a:p>
  </c:txPr>
  <c:externalData r:id="rId1">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'Valor acrescentado'!$B$65:$B$82</cx:f>
        <cx:lvl ptCount="18">
          <cx:pt idx="0">Agricultura, inclusive o apoio e a pós colheita</cx:pt>
          <cx:pt idx="1">Pecuária, inclusive apoio à pecuária</cx:pt>
          <cx:pt idx="2">Produção florestal, pesca e aquicultura</cx:pt>
          <cx:pt idx="3">Indústria extrativa</cx:pt>
          <cx:pt idx="4">Indústria de transformação</cx:pt>
          <cx:pt idx="5">Eletricidade e gás, água, esgoto, atividades de gestão de resíduos e descontaminação</cx:pt>
          <cx:pt idx="6">Construção</cx:pt>
          <cx:pt idx="7">Comércio, manutenção e reparação de veículos automotores e motocicletas</cx:pt>
          <cx:pt idx="8">Transporte, armazenagem e correio</cx:pt>
          <cx:pt idx="9">Serviços de alojamento e alimentação</cx:pt>
          <cx:pt idx="10">Serviços de informação e comunicação</cx:pt>
          <cx:pt idx="11">Atividades financeiras, de seguros e serviços relacionados</cx:pt>
          <cx:pt idx="12">Atividades imobiliárias</cx:pt>
          <cx:pt idx="13">Atividades profissionais, científicas e técnicas, administrativas e serviços complementares</cx:pt>
          <cx:pt idx="14">Administração, educação e saúde pública, defesa e seguridade social</cx:pt>
          <cx:pt idx="15">Educação e saúde privada</cx:pt>
          <cx:pt idx="16">Artes, cultura, esporte e recreação, outras atividades de serviços (1)</cx:pt>
          <cx:pt idx="17">Serviços domésticos</cx:pt>
        </cx:lvl>
      </cx:strDim>
      <cx:numDim type="size">
        <cx:f>'Valor acrescentado'!$D$65:$D$82</cx:f>
        <cx:lvl ptCount="18" formatCode="[$R$-pt-BR]\ #.##0">
          <cx:pt idx="0">60786.20747443138</cx:pt>
          <cx:pt idx="1">14488.839974894032</cx:pt>
          <cx:pt idx="2">3385.1208054336907</cx:pt>
          <cx:pt idx="3">8175.7726482821399</cx:pt>
          <cx:pt idx="4">1575303.7334619656</cx:pt>
          <cx:pt idx="5">96513.487005536037</cx:pt>
          <cx:pt idx="6">251389.6470740888</cx:pt>
          <cx:pt idx="7">418262.88103142561</cx:pt>
          <cx:pt idx="8">213551.8281699958</cx:pt>
          <cx:pt idx="9">92217.762332378741</cx:pt>
          <cx:pt idx="10">234096.26075997349</cx:pt>
          <cx:pt idx="11">408511.31365339074</cx:pt>
          <cx:pt idx="12">181324.94071151322</cx:pt>
          <cx:pt idx="13">328866.3427821623</cx:pt>
          <cx:pt idx="14">280978.72140159266</cx:pt>
          <cx:pt idx="15">129770.8551023637</cx:pt>
          <cx:pt idx="16">86243.583719387592</cx:pt>
          <cx:pt idx="17">24257.077650580391</cx:pt>
        </cx:lvl>
      </cx:numDim>
    </cx:data>
  </cx:chartData>
  <cx:chart>
    <cx:plotArea>
      <cx:plotAreaRegion>
        <cx:series layoutId="treemap" uniqueId="{DA2DA81D-828F-4C42-9CD6-98146CDFE75B}">
          <cx:dataLabels pos="inEnd">
            <cx:numFmt formatCode="[$R$-pt-BR] #.##0" sourceLinked="0"/>
            <cx:visibility seriesName="0" categoryName="1" value="1"/>
            <cx:separator>, </cx:separator>
          </cx:dataLabels>
          <cx:dataId val="0"/>
          <cx:layoutPr>
            <cx:parentLabelLayout val="overlapping"/>
          </cx:layoutPr>
        </cx:series>
      </cx:plotAreaRegion>
    </cx:plotArea>
  </cx:chart>
</cx:chartSpace>
</file>

<file path=word/charts/chartEx2.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'Valor acrescentado'!$B$65:$B$82</cx:f>
        <cx:lvl ptCount="18">
          <cx:pt idx="0">Agricultura, inclusive o apoio e a pós colheita</cx:pt>
          <cx:pt idx="1">Pecuária, inclusive apoio à pecuária</cx:pt>
          <cx:pt idx="2">Produção florestal, pesca e aquicultura</cx:pt>
          <cx:pt idx="3">Indústria extrativa</cx:pt>
          <cx:pt idx="4">Indústria de transformação</cx:pt>
          <cx:pt idx="5">Eletricidade e gás, água, esgoto, atividades de gestão de resíduos e descontaminação</cx:pt>
          <cx:pt idx="6">Construção</cx:pt>
          <cx:pt idx="7">Comércio, manutenção e reparação de veículos automotores e motocicletas</cx:pt>
          <cx:pt idx="8">Transporte, armazenagem e correio</cx:pt>
          <cx:pt idx="9">Serviços de alojamento e alimentação</cx:pt>
          <cx:pt idx="10">Serviços de informação e comunicação</cx:pt>
          <cx:pt idx="11">Atividades financeiras, de seguros e serviços relacionados</cx:pt>
          <cx:pt idx="12">Atividades imobiliárias</cx:pt>
          <cx:pt idx="13">Atividades profissionais, científicas e técnicas, administrativas e serviços complementares</cx:pt>
          <cx:pt idx="14">Administração, educação e saúde pública, defesa e seguridade social</cx:pt>
          <cx:pt idx="15">Educação e saúde privada</cx:pt>
          <cx:pt idx="16">Artes, cultura, esporte e recreação, outras atividades de serviços (1)</cx:pt>
          <cx:pt idx="17">Serviços domésticos</cx:pt>
        </cx:lvl>
      </cx:strDim>
      <cx:numDim type="size">
        <cx:f>'Valor acrescentado'!$E$65:$E$82</cx:f>
        <cx:lvl ptCount="18" formatCode="[$R$-pt-BR]\ #.##0">
          <cx:pt idx="0">66308.387904612595</cx:pt>
          <cx:pt idx="1">14317.307489426965</cx:pt>
          <cx:pt idx="2">1946.0504381036892</cx:pt>
          <cx:pt idx="3">20495.422027088127</cx:pt>
          <cx:pt idx="4">1279223.1200435967</cx:pt>
          <cx:pt idx="5">86258.398061040207</cx:pt>
          <cx:pt idx="6">202131.40518283768</cx:pt>
          <cx:pt idx="7">460619.84914320364</cx:pt>
          <cx:pt idx="8">211530.05172707001</cx:pt>
          <cx:pt idx="9">101554.41759463584</cx:pt>
          <cx:pt idx="10">207421.92142880292</cx:pt>
          <cx:pt idx="11">429830.08171773487</cx:pt>
          <cx:pt idx="12">229150.11518080466</cx:pt>
          <cx:pt idx="13">373443.90569971985</cx:pt>
          <cx:pt idx="14">283574.30629538972</cx:pt>
          <cx:pt idx="15">155744.57357569574</cx:pt>
          <cx:pt idx="16">76320.89851848768</cx:pt>
          <cx:pt idx="17">24521.714963856266</cx:pt>
        </cx:lvl>
      </cx:numDim>
    </cx:data>
  </cx:chartData>
  <cx:chart>
    <cx:plotArea>
      <cx:plotAreaRegion>
        <cx:series layoutId="treemap" uniqueId="{DA2DA81D-828F-4C42-9CD6-98146CDFE75B}">
          <cx:tx>
            <cx:txData>
              <cx:v>2010</cx:v>
            </cx:txData>
          </cx:tx>
          <cx:dataLabels pos="inEnd">
            <cx:numFmt formatCode="[$R$-pt-BR] #.##0" sourceLinked="0"/>
            <cx:visibility seriesName="0" categoryName="1" value="1"/>
            <cx:separator>, </cx:separator>
          </cx:dataLabels>
          <cx:dataId val="0"/>
          <cx:layoutPr>
            <cx:parentLabelLayout val="overlapping"/>
          </cx:layoutPr>
        </cx:series>
      </cx:plotAreaRegion>
    </cx:plotArea>
  </cx:chart>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410">
  <cs:axisTitle>
    <cs:lnRef idx="0"/>
    <cs:fillRef idx="0"/>
    <cs:effectRef idx="0"/>
    <cs:fontRef idx="minor">
      <a:schemeClr val="tx1">
        <a:lumMod val="65000"/>
        <a:lumOff val="35000"/>
      </a:schemeClr>
    </cs:fontRef>
    <cs:spPr>
      <a:solidFill>
        <a:schemeClr val="bg1">
          <a:lumMod val="65000"/>
        </a:schemeClr>
      </a:solidFill>
      <a:ln w="19050">
        <a:solidFill>
          <a:schemeClr val="bg1"/>
        </a:solidFill>
      </a:ln>
    </cs:spPr>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lt1"/>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410">
  <cs:axisTitle>
    <cs:lnRef idx="0"/>
    <cs:fillRef idx="0"/>
    <cs:effectRef idx="0"/>
    <cs:fontRef idx="minor">
      <a:schemeClr val="tx1">
        <a:lumMod val="65000"/>
        <a:lumOff val="35000"/>
      </a:schemeClr>
    </cs:fontRef>
    <cs:spPr>
      <a:solidFill>
        <a:schemeClr val="bg1">
          <a:lumMod val="65000"/>
        </a:schemeClr>
      </a:solidFill>
      <a:ln w="19050">
        <a:solidFill>
          <a:schemeClr val="bg1"/>
        </a:solidFill>
      </a:ln>
    </cs:spPr>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lt1"/>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528BE39FBEAD1A48AE7B1BFFEBFF8A07" ma:contentTypeVersion="3102" ma:contentTypeDescription="Create a new document." ma:contentTypeScope="" ma:versionID="e074c57454afa0a5bbc3d83e37dc57fa">
  <xsd:schema xmlns:xsd="http://www.w3.org/2001/XMLSchema" xmlns:xs="http://www.w3.org/2001/XMLSchema" xmlns:p="http://schemas.microsoft.com/office/2006/metadata/properties" xmlns:ns2="57536742-d7eb-4eb0-8cdb-d69a6240b5bc" xmlns:ns3="df3a4661-ae8f-4b53-9a15-a52e56768ad8" xmlns:ns4="e2400497-19ce-4944-bb67-66497a5b26c0" targetNamespace="http://schemas.microsoft.com/office/2006/metadata/properties" ma:root="true" ma:fieldsID="8e439a36d021f0385b1b6668fde6b966" ns2:_="" ns3:_="" ns4:_="">
    <xsd:import namespace="57536742-d7eb-4eb0-8cdb-d69a6240b5bc"/>
    <xsd:import namespace="df3a4661-ae8f-4b53-9a15-a52e56768ad8"/>
    <xsd:import namespace="e2400497-19ce-4944-bb67-66497a5b26c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36742-d7eb-4eb0-8cdb-d69a6240b5bc"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f3a4661-ae8f-4b53-9a15-a52e56768ad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400497-19ce-4944-bb67-66497a5b26c0" elementFormDefault="qualified">
    <xsd:import namespace="http://schemas.microsoft.com/office/2006/documentManagement/types"/>
    <xsd:import namespace="http://schemas.microsoft.com/office/infopath/2007/PartnerControls"/>
    <xsd:element name="SharedWithUsers" ma:index="21"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1323BF-F816-4E05-9C62-0A994A827124}">
  <ds:schemaRefs>
    <ds:schemaRef ds:uri="http://schemas.openxmlformats.org/officeDocument/2006/bibliography"/>
  </ds:schemaRefs>
</ds:datastoreItem>
</file>

<file path=customXml/itemProps2.xml><?xml version="1.0" encoding="utf-8"?>
<ds:datastoreItem xmlns:ds="http://schemas.openxmlformats.org/officeDocument/2006/customXml" ds:itemID="{621F5AC3-7D2C-4D5F-909D-8C9877695738}">
  <ds:schemaRefs>
    <ds:schemaRef ds:uri="http://schemas.microsoft.com/sharepoint/v3/contenttype/forms"/>
  </ds:schemaRefs>
</ds:datastoreItem>
</file>

<file path=customXml/itemProps3.xml><?xml version="1.0" encoding="utf-8"?>
<ds:datastoreItem xmlns:ds="http://schemas.openxmlformats.org/officeDocument/2006/customXml" ds:itemID="{0FAD0752-18A4-4AD4-901A-811DC446FCCE}">
  <ds:schemaRefs>
    <ds:schemaRef ds:uri="http://schemas.microsoft.com/sharepoint/events"/>
  </ds:schemaRefs>
</ds:datastoreItem>
</file>

<file path=customXml/itemProps4.xml><?xml version="1.0" encoding="utf-8"?>
<ds:datastoreItem xmlns:ds="http://schemas.openxmlformats.org/officeDocument/2006/customXml" ds:itemID="{9F4A54E5-26B5-432A-9F6C-F9ACCB890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36742-d7eb-4eb0-8cdb-d69a6240b5bc"/>
    <ds:schemaRef ds:uri="df3a4661-ae8f-4b53-9a15-a52e56768ad8"/>
    <ds:schemaRef ds:uri="e2400497-19ce-4944-bb67-66497a5b26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45EBC73-3545-4799-B6E7-802D0AE1225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1291</Words>
  <Characters>7363</Characters>
  <Application>Microsoft Office Word</Application>
  <DocSecurity>0</DocSecurity>
  <Lines>61</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Roe</dc:creator>
  <cp:lastModifiedBy>Stephen Roe</cp:lastModifiedBy>
  <cp:revision>4</cp:revision>
  <dcterms:created xsi:type="dcterms:W3CDTF">2021-04-29T20:35:00Z</dcterms:created>
  <dcterms:modified xsi:type="dcterms:W3CDTF">2021-04-29T21:06:00Z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0x010100528BE39FBEAD1A48AE7B1BFFEBFF8A07</vt:lpwstr>
  </property>
</Properties>
</file>